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63F20" w14:textId="77777777" w:rsidR="008213FA" w:rsidRPr="00791F78" w:rsidRDefault="008213FA">
      <w:pPr>
        <w:ind w:left="100"/>
        <w:rPr>
          <w:rFonts w:eastAsia="宋体"/>
          <w:b/>
          <w:bCs/>
          <w:sz w:val="24"/>
          <w:szCs w:val="24"/>
        </w:rPr>
      </w:pPr>
      <w:bookmarkStart w:id="0" w:name="page1"/>
      <w:bookmarkEnd w:id="0"/>
    </w:p>
    <w:p w14:paraId="14108FBC" w14:textId="77777777" w:rsidR="008213FA" w:rsidRPr="00791F78" w:rsidRDefault="00D93B57">
      <w:pPr>
        <w:rPr>
          <w:rFonts w:eastAsia="宋体"/>
          <w:b/>
          <w:bCs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世界贸易组织</w:t>
      </w:r>
    </w:p>
    <w:p w14:paraId="5A66E25B" w14:textId="77777777" w:rsidR="008213FA" w:rsidRPr="00791F78" w:rsidRDefault="008213FA">
      <w:pPr>
        <w:ind w:left="100"/>
        <w:rPr>
          <w:rFonts w:eastAsia="宋体"/>
          <w:b/>
          <w:bCs/>
          <w:sz w:val="24"/>
          <w:szCs w:val="24"/>
        </w:rPr>
      </w:pPr>
    </w:p>
    <w:p w14:paraId="3806ACB4" w14:textId="77777777" w:rsidR="008213FA" w:rsidRPr="00791F78" w:rsidRDefault="008213FA">
      <w:pPr>
        <w:ind w:left="100"/>
        <w:rPr>
          <w:rFonts w:eastAsia="宋体"/>
          <w:b/>
          <w:bCs/>
          <w:sz w:val="24"/>
          <w:szCs w:val="24"/>
        </w:rPr>
      </w:pPr>
    </w:p>
    <w:p w14:paraId="731C4197" w14:textId="77777777" w:rsidR="008213FA" w:rsidRPr="00791F78" w:rsidRDefault="008213FA">
      <w:pPr>
        <w:ind w:left="100"/>
        <w:rPr>
          <w:rFonts w:eastAsia="宋体"/>
          <w:b/>
          <w:bCs/>
          <w:sz w:val="24"/>
          <w:szCs w:val="24"/>
        </w:rPr>
      </w:pPr>
    </w:p>
    <w:p w14:paraId="1E0D33A5" w14:textId="77777777" w:rsidR="008213FA" w:rsidRPr="00791F78" w:rsidRDefault="008213FA">
      <w:pPr>
        <w:rPr>
          <w:rFonts w:eastAsia="宋体"/>
          <w:b/>
          <w:bCs/>
          <w:sz w:val="24"/>
          <w:szCs w:val="24"/>
        </w:rPr>
      </w:pPr>
    </w:p>
    <w:p w14:paraId="7B830918" w14:textId="77777777" w:rsidR="008213FA" w:rsidRPr="00791F78" w:rsidRDefault="008213FA">
      <w:pPr>
        <w:spacing w:line="20" w:lineRule="exact"/>
        <w:rPr>
          <w:rFonts w:eastAsia="宋体"/>
          <w:sz w:val="24"/>
          <w:szCs w:val="24"/>
        </w:rPr>
      </w:pPr>
    </w:p>
    <w:p w14:paraId="6D00DAD9" w14:textId="77777777" w:rsidR="008213FA" w:rsidRPr="00791F78" w:rsidRDefault="00D93B57">
      <w:pPr>
        <w:rPr>
          <w:rFonts w:eastAsia="宋体"/>
          <w:b/>
          <w:bCs/>
          <w:sz w:val="24"/>
          <w:szCs w:val="24"/>
        </w:rPr>
      </w:pPr>
      <w:r w:rsidRPr="00791F78">
        <w:rPr>
          <w:rFonts w:eastAsia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A76867D" wp14:editId="5012195D">
                <wp:simplePos x="0" y="0"/>
                <wp:positionH relativeFrom="column">
                  <wp:posOffset>-4445</wp:posOffset>
                </wp:positionH>
                <wp:positionV relativeFrom="paragraph">
                  <wp:posOffset>146685</wp:posOffset>
                </wp:positionV>
                <wp:extent cx="59937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A49A" id="Shape 1" o:spid="_x0000_s1026" style="position:absolute;left:0;text-align:lef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55pt" to="471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" o:allowincell="f" filled="t" strokeweight=".16931mm">
                <v:stroke joinstyle="miter"/>
              </v:line>
            </w:pict>
          </mc:Fallback>
        </mc:AlternateContent>
      </w:r>
      <w:r w:rsidRPr="00791F78">
        <w:rPr>
          <w:rFonts w:eastAsia="宋体"/>
          <w:sz w:val="24"/>
          <w:szCs w:val="24"/>
        </w:rPr>
        <w:br w:type="column"/>
      </w:r>
      <w:r w:rsidRPr="00791F78">
        <w:rPr>
          <w:rFonts w:eastAsia="宋体"/>
          <w:b/>
          <w:bCs/>
          <w:sz w:val="24"/>
          <w:szCs w:val="24"/>
        </w:rPr>
        <w:t>G/ADP/N/1/IND/2/Suppl.2</w:t>
      </w:r>
    </w:p>
    <w:p w14:paraId="54D89DDC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G/SCM/N/1/IND/2/Suppl.2</w:t>
      </w:r>
    </w:p>
    <w:p w14:paraId="152CD179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1999</w:t>
      </w:r>
      <w:r w:rsidRPr="00791F78">
        <w:rPr>
          <w:rFonts w:eastAsia="宋体"/>
          <w:sz w:val="24"/>
          <w:szCs w:val="24"/>
        </w:rPr>
        <w:t>年</w:t>
      </w:r>
      <w:r w:rsidRPr="00791F78">
        <w:rPr>
          <w:rFonts w:eastAsia="宋体"/>
          <w:sz w:val="24"/>
          <w:szCs w:val="24"/>
        </w:rPr>
        <w:t>8</w:t>
      </w:r>
      <w:r w:rsidRPr="00791F78">
        <w:rPr>
          <w:rFonts w:eastAsia="宋体"/>
          <w:sz w:val="24"/>
          <w:szCs w:val="24"/>
        </w:rPr>
        <w:t>月</w:t>
      </w:r>
      <w:r w:rsidRPr="00791F78">
        <w:rPr>
          <w:rFonts w:eastAsia="宋体"/>
          <w:sz w:val="24"/>
          <w:szCs w:val="24"/>
        </w:rPr>
        <w:t>18</w:t>
      </w:r>
      <w:r w:rsidRPr="00791F78">
        <w:rPr>
          <w:rFonts w:eastAsia="宋体"/>
          <w:sz w:val="24"/>
          <w:szCs w:val="24"/>
        </w:rPr>
        <w:t>日</w:t>
      </w:r>
    </w:p>
    <w:p w14:paraId="736CCC8C" w14:textId="77777777" w:rsidR="008213FA" w:rsidRPr="00791F78" w:rsidRDefault="008213FA">
      <w:pPr>
        <w:spacing w:line="114" w:lineRule="exact"/>
        <w:rPr>
          <w:rFonts w:eastAsia="宋体"/>
          <w:sz w:val="24"/>
          <w:szCs w:val="24"/>
        </w:rPr>
      </w:pPr>
    </w:p>
    <w:p w14:paraId="2FEFFC8A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（</w:t>
      </w:r>
      <w:r w:rsidRPr="00791F78">
        <w:rPr>
          <w:rFonts w:eastAsia="宋体"/>
          <w:sz w:val="24"/>
          <w:szCs w:val="24"/>
        </w:rPr>
        <w:t>99-3473</w:t>
      </w:r>
      <w:r w:rsidRPr="00791F78">
        <w:rPr>
          <w:rFonts w:eastAsia="宋体"/>
          <w:sz w:val="24"/>
          <w:szCs w:val="24"/>
        </w:rPr>
        <w:t>）</w:t>
      </w:r>
    </w:p>
    <w:p w14:paraId="24B80058" w14:textId="77777777" w:rsidR="008213FA" w:rsidRPr="00791F78" w:rsidRDefault="008213FA">
      <w:pPr>
        <w:rPr>
          <w:rFonts w:eastAsia="宋体"/>
          <w:sz w:val="24"/>
          <w:szCs w:val="24"/>
        </w:rPr>
      </w:pPr>
    </w:p>
    <w:p w14:paraId="41F1EB03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pgSz w:w="11900" w:h="16840"/>
          <w:pgMar w:top="923" w:right="1360" w:bottom="1440" w:left="1440" w:header="0" w:footer="0" w:gutter="0"/>
          <w:cols w:num="2" w:space="720" w:equalWidth="0">
            <w:col w:w="5840" w:space="720"/>
            <w:col w:w="2540"/>
          </w:cols>
        </w:sectPr>
      </w:pPr>
    </w:p>
    <w:p w14:paraId="78D1B105" w14:textId="77777777" w:rsidR="008213FA" w:rsidRPr="00791F78" w:rsidRDefault="00D93B57">
      <w:pPr>
        <w:tabs>
          <w:tab w:val="left" w:pos="7520"/>
        </w:tabs>
        <w:ind w:firstLineChars="2800" w:firstLine="6720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原文</w:t>
      </w:r>
      <w:r w:rsidRPr="00791F78">
        <w:rPr>
          <w:rFonts w:eastAsia="宋体"/>
          <w:sz w:val="24"/>
          <w:szCs w:val="24"/>
        </w:rPr>
        <w:t>:</w:t>
      </w:r>
      <w:r w:rsidRPr="00791F78">
        <w:rPr>
          <w:rFonts w:eastAsia="宋体"/>
          <w:sz w:val="24"/>
          <w:szCs w:val="24"/>
        </w:rPr>
        <w:t>英文</w:t>
      </w:r>
    </w:p>
    <w:p w14:paraId="1F811257" w14:textId="77777777" w:rsidR="008213FA" w:rsidRPr="00791F78" w:rsidRDefault="008213FA">
      <w:pPr>
        <w:spacing w:line="108" w:lineRule="exact"/>
        <w:rPr>
          <w:rFonts w:eastAsia="宋体"/>
          <w:sz w:val="24"/>
          <w:szCs w:val="24"/>
        </w:rPr>
      </w:pPr>
    </w:p>
    <w:p w14:paraId="35A96175" w14:textId="1A15F25B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反倾销</w:t>
      </w:r>
      <w:r w:rsidR="00914957" w:rsidRPr="00791F78">
        <w:rPr>
          <w:rFonts w:eastAsia="宋体"/>
          <w:b/>
          <w:bCs/>
          <w:sz w:val="24"/>
          <w:szCs w:val="24"/>
        </w:rPr>
        <w:t>措施</w:t>
      </w:r>
      <w:r w:rsidRPr="00791F78">
        <w:rPr>
          <w:rFonts w:eastAsia="宋体"/>
          <w:b/>
          <w:bCs/>
          <w:sz w:val="24"/>
          <w:szCs w:val="24"/>
        </w:rPr>
        <w:t>委员会</w:t>
      </w:r>
    </w:p>
    <w:p w14:paraId="3E0C94C7" w14:textId="77777777" w:rsidR="008213FA" w:rsidRPr="00791F78" w:rsidRDefault="008213FA">
      <w:pPr>
        <w:spacing w:line="29" w:lineRule="exact"/>
        <w:rPr>
          <w:rFonts w:eastAsia="宋体"/>
          <w:sz w:val="24"/>
          <w:szCs w:val="24"/>
        </w:rPr>
      </w:pPr>
    </w:p>
    <w:p w14:paraId="03B476E1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补贴和反补贴措施委员会</w:t>
      </w:r>
    </w:p>
    <w:p w14:paraId="3D414E62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0D68EBBB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0D282E84" w14:textId="77777777" w:rsidR="008213FA" w:rsidRPr="00791F78" w:rsidRDefault="008213FA">
      <w:pPr>
        <w:spacing w:line="329" w:lineRule="exact"/>
        <w:rPr>
          <w:rFonts w:eastAsia="宋体"/>
          <w:sz w:val="24"/>
          <w:szCs w:val="24"/>
        </w:rPr>
      </w:pPr>
    </w:p>
    <w:p w14:paraId="598D3FAA" w14:textId="77777777" w:rsidR="008213FA" w:rsidRPr="00791F78" w:rsidRDefault="008213FA">
      <w:pPr>
        <w:spacing w:line="25" w:lineRule="exact"/>
        <w:rPr>
          <w:rFonts w:eastAsia="宋体"/>
          <w:sz w:val="24"/>
          <w:szCs w:val="24"/>
        </w:rPr>
      </w:pPr>
    </w:p>
    <w:p w14:paraId="1AD04210" w14:textId="77777777" w:rsidR="008213FA" w:rsidRPr="00791F78" w:rsidRDefault="00D93B57">
      <w:pPr>
        <w:ind w:right="80"/>
        <w:jc w:val="center"/>
        <w:rPr>
          <w:rFonts w:eastAsia="宋体"/>
          <w:b/>
          <w:bCs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  <w:u w:val="single"/>
        </w:rPr>
        <w:t>“</w:t>
      </w:r>
      <w:r w:rsidRPr="00791F78">
        <w:rPr>
          <w:rFonts w:eastAsia="宋体"/>
          <w:b/>
          <w:bCs/>
          <w:sz w:val="24"/>
          <w:szCs w:val="24"/>
          <w:u w:val="single"/>
        </w:rPr>
        <w:t>协定</w:t>
      </w:r>
      <w:r w:rsidRPr="00791F78">
        <w:rPr>
          <w:rFonts w:eastAsia="宋体"/>
          <w:b/>
          <w:bCs/>
          <w:sz w:val="24"/>
          <w:szCs w:val="24"/>
          <w:u w:val="single"/>
        </w:rPr>
        <w:t>”</w:t>
      </w:r>
      <w:r w:rsidRPr="00791F78">
        <w:rPr>
          <w:rFonts w:eastAsia="宋体"/>
          <w:b/>
          <w:bCs/>
          <w:sz w:val="24"/>
          <w:szCs w:val="24"/>
          <w:u w:val="single"/>
        </w:rPr>
        <w:t>第</w:t>
      </w:r>
      <w:r w:rsidRPr="00791F78">
        <w:rPr>
          <w:rFonts w:eastAsia="宋体"/>
          <w:b/>
          <w:bCs/>
          <w:sz w:val="24"/>
          <w:szCs w:val="24"/>
          <w:u w:val="single"/>
        </w:rPr>
        <w:t>18.5</w:t>
      </w:r>
      <w:r w:rsidRPr="00791F78">
        <w:rPr>
          <w:rFonts w:eastAsia="宋体"/>
          <w:b/>
          <w:bCs/>
          <w:sz w:val="24"/>
          <w:szCs w:val="24"/>
          <w:u w:val="single"/>
        </w:rPr>
        <w:t>条和第</w:t>
      </w:r>
      <w:r w:rsidRPr="00791F78">
        <w:rPr>
          <w:rFonts w:eastAsia="宋体"/>
          <w:b/>
          <w:bCs/>
          <w:sz w:val="24"/>
          <w:szCs w:val="24"/>
          <w:u w:val="single"/>
        </w:rPr>
        <w:t>32.6</w:t>
      </w:r>
      <w:r w:rsidRPr="00791F78">
        <w:rPr>
          <w:rFonts w:eastAsia="宋体"/>
          <w:b/>
          <w:bCs/>
          <w:sz w:val="24"/>
          <w:szCs w:val="24"/>
          <w:u w:val="single"/>
        </w:rPr>
        <w:t>条法律法规通知</w:t>
      </w:r>
    </w:p>
    <w:p w14:paraId="42832978" w14:textId="77777777" w:rsidR="008213FA" w:rsidRPr="00791F78" w:rsidRDefault="008213FA">
      <w:pPr>
        <w:ind w:right="80"/>
        <w:jc w:val="center"/>
        <w:rPr>
          <w:rFonts w:eastAsia="宋体"/>
          <w:sz w:val="24"/>
          <w:szCs w:val="24"/>
        </w:rPr>
      </w:pPr>
    </w:p>
    <w:p w14:paraId="3CDAA946" w14:textId="77777777" w:rsidR="008213FA" w:rsidRPr="00791F78" w:rsidRDefault="008213FA">
      <w:pPr>
        <w:spacing w:line="229" w:lineRule="exact"/>
        <w:rPr>
          <w:rFonts w:eastAsia="宋体"/>
          <w:sz w:val="24"/>
          <w:szCs w:val="24"/>
        </w:rPr>
      </w:pPr>
    </w:p>
    <w:p w14:paraId="2B9CC39D" w14:textId="77777777" w:rsidR="008213FA" w:rsidRPr="00791F78" w:rsidRDefault="00D93B57">
      <w:pPr>
        <w:ind w:right="80"/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印度</w:t>
      </w:r>
    </w:p>
    <w:p w14:paraId="38092811" w14:textId="77777777" w:rsidR="008213FA" w:rsidRPr="00791F78" w:rsidRDefault="008213FA">
      <w:pPr>
        <w:spacing w:line="251" w:lineRule="exact"/>
        <w:rPr>
          <w:rFonts w:eastAsia="宋体"/>
          <w:sz w:val="24"/>
          <w:szCs w:val="24"/>
        </w:rPr>
      </w:pPr>
    </w:p>
    <w:p w14:paraId="5252D955" w14:textId="77777777" w:rsidR="008213FA" w:rsidRPr="00791F78" w:rsidRDefault="00D93B57">
      <w:pPr>
        <w:ind w:right="80"/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  <w:u w:val="single"/>
        </w:rPr>
        <w:t>补编</w:t>
      </w:r>
    </w:p>
    <w:p w14:paraId="4F6884D1" w14:textId="77777777" w:rsidR="008213FA" w:rsidRPr="00791F78" w:rsidRDefault="008213FA">
      <w:pPr>
        <w:spacing w:line="253" w:lineRule="exact"/>
        <w:rPr>
          <w:rFonts w:eastAsia="宋体"/>
          <w:sz w:val="24"/>
          <w:szCs w:val="24"/>
        </w:rPr>
      </w:pPr>
    </w:p>
    <w:p w14:paraId="77BC3830" w14:textId="5FDC0688" w:rsidR="008213FA" w:rsidRPr="00791F78" w:rsidRDefault="00CB295C">
      <w:pPr>
        <w:spacing w:line="273" w:lineRule="auto"/>
        <w:ind w:right="80" w:firstLine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于</w:t>
      </w:r>
      <w:r w:rsidRPr="00791F78">
        <w:rPr>
          <w:rFonts w:eastAsia="宋体"/>
          <w:sz w:val="24"/>
          <w:szCs w:val="24"/>
        </w:rPr>
        <w:t>1999</w:t>
      </w:r>
      <w:r w:rsidRPr="00791F78">
        <w:rPr>
          <w:rFonts w:eastAsia="宋体"/>
          <w:sz w:val="24"/>
          <w:szCs w:val="24"/>
        </w:rPr>
        <w:t>年</w:t>
      </w:r>
      <w:r w:rsidRPr="00791F78">
        <w:rPr>
          <w:rFonts w:eastAsia="宋体"/>
          <w:sz w:val="24"/>
          <w:szCs w:val="24"/>
        </w:rPr>
        <w:t>8</w:t>
      </w:r>
      <w:r w:rsidRPr="00791F78">
        <w:rPr>
          <w:rFonts w:eastAsia="宋体"/>
          <w:sz w:val="24"/>
          <w:szCs w:val="24"/>
        </w:rPr>
        <w:t>月</w:t>
      </w:r>
      <w:r w:rsidRPr="00791F78">
        <w:rPr>
          <w:rFonts w:eastAsia="宋体"/>
          <w:sz w:val="24"/>
          <w:szCs w:val="24"/>
        </w:rPr>
        <w:t>12</w:t>
      </w:r>
      <w:r w:rsidRPr="00791F78">
        <w:rPr>
          <w:rFonts w:eastAsia="宋体"/>
          <w:sz w:val="24"/>
          <w:szCs w:val="24"/>
        </w:rPr>
        <w:t>日，</w:t>
      </w:r>
      <w:r w:rsidR="00D93B57" w:rsidRPr="00791F78">
        <w:rPr>
          <w:rFonts w:eastAsia="宋体"/>
          <w:sz w:val="24"/>
          <w:szCs w:val="24"/>
        </w:rPr>
        <w:t>收到印度常驻代表团的来文如下。</w:t>
      </w:r>
    </w:p>
    <w:p w14:paraId="0AC489B8" w14:textId="77777777" w:rsidR="008213FA" w:rsidRPr="00791F78" w:rsidRDefault="008213FA">
      <w:pPr>
        <w:spacing w:line="183" w:lineRule="exact"/>
        <w:rPr>
          <w:rFonts w:eastAsia="宋体"/>
          <w:sz w:val="24"/>
          <w:szCs w:val="24"/>
        </w:rPr>
      </w:pPr>
      <w:bookmarkStart w:id="1" w:name="_GoBack"/>
      <w:bookmarkEnd w:id="1"/>
    </w:p>
    <w:p w14:paraId="30E40A1F" w14:textId="77777777" w:rsidR="008213FA" w:rsidRPr="00791F78" w:rsidRDefault="00D93B57">
      <w:pPr>
        <w:ind w:right="80"/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_________________</w:t>
      </w:r>
    </w:p>
    <w:p w14:paraId="37651C88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3D045C02" w14:textId="77777777" w:rsidR="008213FA" w:rsidRPr="00791F78" w:rsidRDefault="008213FA">
      <w:pPr>
        <w:spacing w:line="308" w:lineRule="exact"/>
        <w:rPr>
          <w:rFonts w:eastAsia="宋体"/>
          <w:sz w:val="24"/>
          <w:szCs w:val="24"/>
        </w:rPr>
      </w:pPr>
    </w:p>
    <w:p w14:paraId="6B4A80F5" w14:textId="72272869" w:rsidR="008213FA" w:rsidRPr="00791F78" w:rsidRDefault="00D93B57">
      <w:pPr>
        <w:numPr>
          <w:ilvl w:val="0"/>
          <w:numId w:val="1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请参阅印度日期为</w:t>
      </w:r>
      <w:r w:rsidRPr="00791F78">
        <w:rPr>
          <w:rFonts w:eastAsia="宋体"/>
          <w:sz w:val="24"/>
          <w:szCs w:val="24"/>
        </w:rPr>
        <w:t>1995</w:t>
      </w:r>
      <w:r w:rsidRPr="00791F78">
        <w:rPr>
          <w:rFonts w:eastAsia="宋体"/>
          <w:sz w:val="24"/>
          <w:szCs w:val="24"/>
        </w:rPr>
        <w:t>年</w:t>
      </w:r>
      <w:r w:rsidRPr="00791F78">
        <w:rPr>
          <w:rFonts w:eastAsia="宋体"/>
          <w:sz w:val="24"/>
          <w:szCs w:val="24"/>
        </w:rPr>
        <w:t>8</w:t>
      </w:r>
      <w:r w:rsidRPr="00791F78">
        <w:rPr>
          <w:rFonts w:eastAsia="宋体"/>
          <w:sz w:val="24"/>
          <w:szCs w:val="24"/>
        </w:rPr>
        <w:t>月</w:t>
      </w:r>
      <w:r w:rsidRPr="00791F78">
        <w:rPr>
          <w:rFonts w:eastAsia="宋体"/>
          <w:sz w:val="24"/>
          <w:szCs w:val="24"/>
        </w:rPr>
        <w:t>15</w:t>
      </w:r>
      <w:r w:rsidRPr="00791F78">
        <w:rPr>
          <w:rFonts w:eastAsia="宋体"/>
          <w:sz w:val="24"/>
          <w:szCs w:val="24"/>
        </w:rPr>
        <w:t>日的通知文件</w:t>
      </w:r>
      <w:r w:rsidRPr="00791F78">
        <w:rPr>
          <w:rFonts w:eastAsia="宋体"/>
          <w:sz w:val="24"/>
          <w:szCs w:val="24"/>
        </w:rPr>
        <w:t>G/ADP/N/1/IND/2-G/SCM/N/1/IND/2</w:t>
      </w:r>
      <w:r w:rsidRPr="00791F78">
        <w:rPr>
          <w:rFonts w:eastAsia="宋体"/>
          <w:sz w:val="24"/>
          <w:szCs w:val="24"/>
        </w:rPr>
        <w:t>关于</w:t>
      </w:r>
      <w:r w:rsidRPr="00791F78">
        <w:rPr>
          <w:rFonts w:eastAsia="宋体"/>
          <w:sz w:val="24"/>
          <w:szCs w:val="24"/>
        </w:rPr>
        <w:t>1995</w:t>
      </w:r>
      <w:r w:rsidRPr="00791F78">
        <w:rPr>
          <w:rFonts w:eastAsia="宋体"/>
          <w:sz w:val="24"/>
          <w:szCs w:val="24"/>
        </w:rPr>
        <w:t>年海关</w:t>
      </w:r>
      <w:r w:rsidR="00EF641D" w:rsidRPr="00791F78">
        <w:rPr>
          <w:rFonts w:eastAsia="宋体"/>
          <w:sz w:val="24"/>
          <w:szCs w:val="24"/>
        </w:rPr>
        <w:t>关</w:t>
      </w:r>
      <w:r w:rsidRPr="00791F78">
        <w:rPr>
          <w:rFonts w:eastAsia="宋体"/>
          <w:sz w:val="24"/>
          <w:szCs w:val="24"/>
        </w:rPr>
        <w:t>税规则（</w:t>
      </w:r>
      <w:r w:rsidR="00DA022F" w:rsidRPr="00791F78">
        <w:rPr>
          <w:rFonts w:eastAsia="宋体"/>
          <w:sz w:val="24"/>
          <w:szCs w:val="24"/>
        </w:rPr>
        <w:t>对倾销产品识别、评估及征收反倾销税和损害确定</w:t>
      </w:r>
      <w:r w:rsidRPr="00791F78">
        <w:rPr>
          <w:rFonts w:eastAsia="宋体"/>
          <w:sz w:val="24"/>
          <w:szCs w:val="24"/>
        </w:rPr>
        <w:t>）。</w:t>
      </w:r>
    </w:p>
    <w:p w14:paraId="244214BE" w14:textId="77777777" w:rsidR="008213FA" w:rsidRPr="00791F78" w:rsidRDefault="008213FA">
      <w:pPr>
        <w:spacing w:line="199" w:lineRule="exact"/>
        <w:rPr>
          <w:rFonts w:eastAsia="宋体"/>
          <w:sz w:val="24"/>
          <w:szCs w:val="24"/>
        </w:rPr>
      </w:pPr>
    </w:p>
    <w:p w14:paraId="1622797E" w14:textId="77777777" w:rsidR="008213FA" w:rsidRPr="00791F78" w:rsidRDefault="00D93B57">
      <w:pPr>
        <w:numPr>
          <w:ilvl w:val="0"/>
          <w:numId w:val="2"/>
        </w:numPr>
        <w:tabs>
          <w:tab w:val="left" w:pos="720"/>
        </w:tabs>
        <w:spacing w:line="271" w:lineRule="auto"/>
        <w:ind w:right="8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随函附上税务局</w:t>
      </w:r>
      <w:r w:rsidRPr="00791F78">
        <w:rPr>
          <w:rFonts w:eastAsia="宋体"/>
          <w:sz w:val="24"/>
          <w:szCs w:val="24"/>
        </w:rPr>
        <w:t>1999</w:t>
      </w:r>
      <w:r w:rsidRPr="00791F78">
        <w:rPr>
          <w:rFonts w:eastAsia="宋体"/>
          <w:sz w:val="24"/>
          <w:szCs w:val="24"/>
        </w:rPr>
        <w:t>年</w:t>
      </w:r>
      <w:r w:rsidRPr="00791F78">
        <w:rPr>
          <w:rFonts w:eastAsia="宋体"/>
          <w:sz w:val="24"/>
          <w:szCs w:val="24"/>
        </w:rPr>
        <w:t>7</w:t>
      </w:r>
      <w:r w:rsidRPr="00791F78">
        <w:rPr>
          <w:rFonts w:eastAsia="宋体"/>
          <w:sz w:val="24"/>
          <w:szCs w:val="24"/>
        </w:rPr>
        <w:t>月</w:t>
      </w:r>
      <w:r w:rsidRPr="00791F78">
        <w:rPr>
          <w:rFonts w:eastAsia="宋体"/>
          <w:sz w:val="24"/>
          <w:szCs w:val="24"/>
        </w:rPr>
        <w:t>15</w:t>
      </w:r>
      <w:r w:rsidRPr="00791F78">
        <w:rPr>
          <w:rFonts w:eastAsia="宋体"/>
          <w:sz w:val="24"/>
          <w:szCs w:val="24"/>
        </w:rPr>
        <w:t>日发出的修订上述规则的海关通知（第</w:t>
      </w:r>
      <w:r w:rsidRPr="00791F78">
        <w:rPr>
          <w:rFonts w:eastAsia="宋体"/>
          <w:sz w:val="24"/>
          <w:szCs w:val="24"/>
        </w:rPr>
        <w:t>44/99-Cus(NT)</w:t>
      </w:r>
      <w:r w:rsidRPr="00791F78">
        <w:rPr>
          <w:rFonts w:eastAsia="宋体"/>
          <w:sz w:val="24"/>
          <w:szCs w:val="24"/>
        </w:rPr>
        <w:t>号）。</w:t>
      </w:r>
    </w:p>
    <w:p w14:paraId="439BA0A7" w14:textId="77777777" w:rsidR="008213FA" w:rsidRPr="00791F78" w:rsidRDefault="008213FA">
      <w:pPr>
        <w:spacing w:line="175" w:lineRule="exact"/>
        <w:rPr>
          <w:rFonts w:eastAsia="宋体"/>
          <w:sz w:val="24"/>
          <w:szCs w:val="24"/>
        </w:rPr>
      </w:pPr>
    </w:p>
    <w:p w14:paraId="446F0441" w14:textId="3CCECFB8" w:rsidR="008213FA" w:rsidRPr="00791F78" w:rsidRDefault="00D93B57">
      <w:pPr>
        <w:numPr>
          <w:ilvl w:val="0"/>
          <w:numId w:val="2"/>
        </w:numPr>
        <w:tabs>
          <w:tab w:val="left" w:pos="720"/>
        </w:tabs>
        <w:spacing w:line="256" w:lineRule="auto"/>
        <w:ind w:right="80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请将根据</w:t>
      </w:r>
      <w:r w:rsidRPr="00791F78">
        <w:rPr>
          <w:rFonts w:eastAsia="宋体"/>
          <w:sz w:val="24"/>
          <w:szCs w:val="24"/>
        </w:rPr>
        <w:t>GATT1994</w:t>
      </w:r>
      <w:r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6</w:t>
      </w:r>
      <w:r w:rsidRPr="00791F78">
        <w:rPr>
          <w:rFonts w:eastAsia="宋体"/>
          <w:sz w:val="24"/>
          <w:szCs w:val="24"/>
        </w:rPr>
        <w:t>条第</w:t>
      </w:r>
      <w:r w:rsidRPr="00791F78">
        <w:rPr>
          <w:rFonts w:eastAsia="宋体"/>
          <w:sz w:val="24"/>
          <w:szCs w:val="24"/>
        </w:rPr>
        <w:t>18.5</w:t>
      </w:r>
      <w:r w:rsidRPr="00791F78">
        <w:rPr>
          <w:rFonts w:eastAsia="宋体"/>
          <w:sz w:val="24"/>
          <w:szCs w:val="24"/>
        </w:rPr>
        <w:t>款发出的通知提请各成员注意。</w:t>
      </w:r>
    </w:p>
    <w:p w14:paraId="7203066E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type w:val="continuous"/>
          <w:pgSz w:w="11900" w:h="16840"/>
          <w:pgMar w:top="923" w:right="1360" w:bottom="1440" w:left="1440" w:header="0" w:footer="0" w:gutter="0"/>
          <w:cols w:space="720" w:equalWidth="0">
            <w:col w:w="9100"/>
          </w:cols>
        </w:sectPr>
      </w:pPr>
    </w:p>
    <w:p w14:paraId="791A9B79" w14:textId="77777777" w:rsidR="008213FA" w:rsidRPr="00791F78" w:rsidRDefault="00D93B57">
      <w:pPr>
        <w:rPr>
          <w:rFonts w:eastAsia="宋体"/>
          <w:sz w:val="24"/>
          <w:szCs w:val="24"/>
        </w:rPr>
      </w:pPr>
      <w:bookmarkStart w:id="2" w:name="page2"/>
      <w:bookmarkEnd w:id="2"/>
      <w:r w:rsidRPr="00791F78">
        <w:rPr>
          <w:rFonts w:eastAsia="宋体"/>
          <w:sz w:val="24"/>
          <w:szCs w:val="24"/>
        </w:rPr>
        <w:lastRenderedPageBreak/>
        <w:t>G/ADP/N/1/IND/2/Suppl.2</w:t>
      </w:r>
    </w:p>
    <w:p w14:paraId="0CCB785B" w14:textId="77777777" w:rsidR="008213FA" w:rsidRPr="00791F78" w:rsidRDefault="008213FA">
      <w:pPr>
        <w:spacing w:line="23" w:lineRule="exact"/>
        <w:rPr>
          <w:rFonts w:eastAsia="宋体"/>
          <w:sz w:val="24"/>
          <w:szCs w:val="24"/>
        </w:rPr>
      </w:pPr>
    </w:p>
    <w:p w14:paraId="74D4F739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G/SCM/N/1/IND/2/Suppl.2</w:t>
      </w:r>
    </w:p>
    <w:p w14:paraId="291D4071" w14:textId="77777777" w:rsidR="008213FA" w:rsidRPr="00791F78" w:rsidRDefault="008213FA">
      <w:pPr>
        <w:spacing w:line="1" w:lineRule="exact"/>
        <w:rPr>
          <w:rFonts w:eastAsia="宋体"/>
          <w:sz w:val="24"/>
          <w:szCs w:val="24"/>
        </w:rPr>
      </w:pPr>
    </w:p>
    <w:p w14:paraId="623DF6E8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2</w:t>
      </w:r>
      <w:r w:rsidRPr="00791F78">
        <w:rPr>
          <w:rFonts w:eastAsia="宋体"/>
          <w:sz w:val="24"/>
          <w:szCs w:val="24"/>
        </w:rPr>
        <w:t>页</w:t>
      </w:r>
    </w:p>
    <w:p w14:paraId="7E360389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79329621" w14:textId="77777777" w:rsidR="008213FA" w:rsidRPr="00791F78" w:rsidRDefault="008213FA">
      <w:pPr>
        <w:spacing w:line="281" w:lineRule="exact"/>
        <w:rPr>
          <w:rFonts w:eastAsia="宋体"/>
          <w:sz w:val="24"/>
          <w:szCs w:val="24"/>
        </w:rPr>
      </w:pPr>
    </w:p>
    <w:p w14:paraId="24B65777" w14:textId="77777777" w:rsidR="008213FA" w:rsidRPr="00791F78" w:rsidRDefault="00D93B57">
      <w:pPr>
        <w:spacing w:line="271" w:lineRule="auto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将在</w:t>
      </w:r>
      <w:r w:rsidRPr="00791F78">
        <w:rPr>
          <w:rFonts w:eastAsia="宋体"/>
          <w:sz w:val="24"/>
          <w:szCs w:val="24"/>
        </w:rPr>
        <w:t>1999</w:t>
      </w:r>
      <w:r w:rsidRPr="00791F78">
        <w:rPr>
          <w:rFonts w:eastAsia="宋体"/>
          <w:sz w:val="24"/>
          <w:szCs w:val="24"/>
        </w:rPr>
        <w:t>年</w:t>
      </w:r>
      <w:r w:rsidRPr="00791F78">
        <w:rPr>
          <w:rFonts w:eastAsia="宋体"/>
          <w:sz w:val="24"/>
          <w:szCs w:val="24"/>
        </w:rPr>
        <w:t>7</w:t>
      </w:r>
      <w:r w:rsidRPr="00791F78">
        <w:rPr>
          <w:rFonts w:eastAsia="宋体"/>
          <w:sz w:val="24"/>
          <w:szCs w:val="24"/>
        </w:rPr>
        <w:t>月</w:t>
      </w:r>
      <w:r w:rsidRPr="00791F78">
        <w:rPr>
          <w:rFonts w:eastAsia="宋体"/>
          <w:sz w:val="24"/>
          <w:szCs w:val="24"/>
        </w:rPr>
        <w:t>15</w:t>
      </w:r>
      <w:r w:rsidRPr="00791F78">
        <w:rPr>
          <w:rFonts w:eastAsia="宋体"/>
          <w:sz w:val="24"/>
          <w:szCs w:val="24"/>
        </w:rPr>
        <w:t>日印度特别公报第一部分第</w:t>
      </w:r>
      <w:r w:rsidRPr="00791F78">
        <w:rPr>
          <w:rFonts w:eastAsia="宋体"/>
          <w:sz w:val="24"/>
          <w:szCs w:val="24"/>
        </w:rPr>
        <w:t>3</w:t>
      </w:r>
      <w:r w:rsidRPr="00791F78">
        <w:rPr>
          <w:rFonts w:eastAsia="宋体"/>
          <w:sz w:val="24"/>
          <w:szCs w:val="24"/>
        </w:rPr>
        <w:t>节第</w:t>
      </w:r>
      <w:r w:rsidRPr="00791F78">
        <w:rPr>
          <w:rFonts w:eastAsia="宋体"/>
          <w:sz w:val="24"/>
          <w:szCs w:val="24"/>
        </w:rPr>
        <w:t>(</w:t>
      </w:r>
      <w:proofErr w:type="spellStart"/>
      <w:r w:rsidRPr="00791F78">
        <w:rPr>
          <w:rFonts w:eastAsia="宋体"/>
          <w:sz w:val="24"/>
          <w:szCs w:val="24"/>
        </w:rPr>
        <w:t>i</w:t>
      </w:r>
      <w:proofErr w:type="spellEnd"/>
      <w:r w:rsidRPr="00791F78">
        <w:rPr>
          <w:rFonts w:eastAsia="宋体"/>
          <w:sz w:val="24"/>
          <w:szCs w:val="24"/>
        </w:rPr>
        <w:t>)</w:t>
      </w:r>
      <w:r w:rsidRPr="00791F78">
        <w:rPr>
          <w:rFonts w:eastAsia="宋体"/>
          <w:sz w:val="24"/>
          <w:szCs w:val="24"/>
        </w:rPr>
        <w:t>分节中公布</w:t>
      </w:r>
    </w:p>
    <w:p w14:paraId="0246443B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5CB4304C" w14:textId="77777777" w:rsidR="008213FA" w:rsidRPr="00791F78" w:rsidRDefault="008213FA">
      <w:pPr>
        <w:spacing w:line="240" w:lineRule="exact"/>
        <w:rPr>
          <w:rFonts w:eastAsia="宋体"/>
          <w:sz w:val="24"/>
          <w:szCs w:val="24"/>
        </w:rPr>
      </w:pPr>
    </w:p>
    <w:p w14:paraId="07ADBB8B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印度政府</w:t>
      </w:r>
    </w:p>
    <w:p w14:paraId="2F006524" w14:textId="77777777" w:rsidR="008213FA" w:rsidRPr="00791F78" w:rsidRDefault="008213FA">
      <w:pPr>
        <w:spacing w:line="28" w:lineRule="exact"/>
        <w:rPr>
          <w:rFonts w:eastAsia="宋体"/>
          <w:sz w:val="24"/>
          <w:szCs w:val="24"/>
        </w:rPr>
      </w:pPr>
    </w:p>
    <w:p w14:paraId="3D34DEE9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财政部</w:t>
      </w:r>
    </w:p>
    <w:p w14:paraId="30585967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税务局</w:t>
      </w:r>
    </w:p>
    <w:p w14:paraId="486A8634" w14:textId="77777777" w:rsidR="008213FA" w:rsidRPr="00791F78" w:rsidRDefault="008213FA">
      <w:pPr>
        <w:spacing w:line="225" w:lineRule="exact"/>
        <w:rPr>
          <w:rFonts w:eastAsia="宋体"/>
          <w:sz w:val="24"/>
          <w:szCs w:val="24"/>
        </w:rPr>
      </w:pPr>
    </w:p>
    <w:p w14:paraId="2F944B23" w14:textId="77777777" w:rsidR="00CB295C" w:rsidRPr="00791F78" w:rsidRDefault="00D93B57" w:rsidP="00F31794">
      <w:pPr>
        <w:ind w:left="6820"/>
        <w:jc w:val="right"/>
        <w:rPr>
          <w:rFonts w:eastAsia="宋体"/>
          <w:sz w:val="24"/>
          <w:szCs w:val="24"/>
          <w:u w:val="single"/>
        </w:rPr>
      </w:pPr>
      <w:r w:rsidRPr="00791F78">
        <w:rPr>
          <w:rFonts w:eastAsia="宋体"/>
          <w:sz w:val="24"/>
          <w:szCs w:val="24"/>
          <w:u w:val="single"/>
        </w:rPr>
        <w:t>1999</w:t>
      </w:r>
      <w:r w:rsidRPr="00791F78">
        <w:rPr>
          <w:rFonts w:eastAsia="宋体"/>
          <w:sz w:val="24"/>
          <w:szCs w:val="24"/>
          <w:u w:val="single"/>
        </w:rPr>
        <w:t>年</w:t>
      </w:r>
      <w:r w:rsidRPr="00791F78">
        <w:rPr>
          <w:rFonts w:eastAsia="宋体"/>
          <w:sz w:val="24"/>
          <w:szCs w:val="24"/>
          <w:u w:val="single"/>
        </w:rPr>
        <w:t>7</w:t>
      </w:r>
      <w:r w:rsidRPr="00791F78">
        <w:rPr>
          <w:rFonts w:eastAsia="宋体"/>
          <w:sz w:val="24"/>
          <w:szCs w:val="24"/>
          <w:u w:val="single"/>
        </w:rPr>
        <w:t>月</w:t>
      </w:r>
      <w:r w:rsidRPr="00791F78">
        <w:rPr>
          <w:rFonts w:eastAsia="宋体"/>
          <w:sz w:val="24"/>
          <w:szCs w:val="24"/>
          <w:u w:val="single"/>
        </w:rPr>
        <w:t>15</w:t>
      </w:r>
      <w:r w:rsidRPr="00791F78">
        <w:rPr>
          <w:rFonts w:eastAsia="宋体"/>
          <w:sz w:val="24"/>
          <w:szCs w:val="24"/>
          <w:u w:val="single"/>
        </w:rPr>
        <w:t>日</w:t>
      </w:r>
    </w:p>
    <w:p w14:paraId="39AB652A" w14:textId="3065BCB7" w:rsidR="008213FA" w:rsidRPr="00791F78" w:rsidRDefault="00D93B57" w:rsidP="00F31794">
      <w:pPr>
        <w:ind w:left="6820"/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  <w:u w:val="single"/>
        </w:rPr>
        <w:t>新德里</w:t>
      </w:r>
    </w:p>
    <w:p w14:paraId="7F54C1CA" w14:textId="77777777" w:rsidR="008213FA" w:rsidRPr="00791F78" w:rsidRDefault="008213FA">
      <w:pPr>
        <w:spacing w:line="37" w:lineRule="exact"/>
        <w:rPr>
          <w:rFonts w:eastAsia="宋体"/>
          <w:sz w:val="24"/>
          <w:szCs w:val="24"/>
        </w:rPr>
      </w:pPr>
    </w:p>
    <w:p w14:paraId="719B51CC" w14:textId="77777777" w:rsidR="008213FA" w:rsidRPr="00791F78" w:rsidRDefault="00D93B57" w:rsidP="00F31794">
      <w:pPr>
        <w:ind w:left="6620"/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 xml:space="preserve">24 </w:t>
      </w:r>
      <w:proofErr w:type="spellStart"/>
      <w:r w:rsidRPr="00791F78">
        <w:rPr>
          <w:rFonts w:eastAsia="宋体"/>
          <w:sz w:val="24"/>
          <w:szCs w:val="24"/>
        </w:rPr>
        <w:t>Ashadha</w:t>
      </w:r>
      <w:proofErr w:type="spellEnd"/>
      <w:r w:rsidRPr="00791F78">
        <w:rPr>
          <w:rFonts w:eastAsia="宋体"/>
          <w:sz w:val="24"/>
          <w:szCs w:val="24"/>
        </w:rPr>
        <w:t>，</w:t>
      </w:r>
      <w:r w:rsidRPr="00791F78">
        <w:rPr>
          <w:rFonts w:eastAsia="宋体"/>
          <w:sz w:val="24"/>
          <w:szCs w:val="24"/>
        </w:rPr>
        <w:t>1921</w:t>
      </w:r>
      <w:r w:rsidRPr="00791F78">
        <w:rPr>
          <w:rFonts w:eastAsia="宋体"/>
          <w:sz w:val="24"/>
          <w:szCs w:val="24"/>
        </w:rPr>
        <w:t>年（萨卡）</w:t>
      </w:r>
    </w:p>
    <w:p w14:paraId="6E9E0335" w14:textId="77777777" w:rsidR="008213FA" w:rsidRPr="00791F78" w:rsidRDefault="008213FA">
      <w:pPr>
        <w:spacing w:line="227" w:lineRule="exact"/>
        <w:rPr>
          <w:rFonts w:eastAsia="宋体"/>
          <w:sz w:val="24"/>
          <w:szCs w:val="24"/>
        </w:rPr>
      </w:pPr>
    </w:p>
    <w:p w14:paraId="3EEDEB16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通知</w:t>
      </w:r>
    </w:p>
    <w:p w14:paraId="486074F2" w14:textId="77777777" w:rsidR="008213FA" w:rsidRPr="00791F78" w:rsidRDefault="008213FA">
      <w:pPr>
        <w:spacing w:line="25" w:lineRule="exact"/>
        <w:rPr>
          <w:rFonts w:eastAsia="宋体"/>
          <w:sz w:val="24"/>
          <w:szCs w:val="24"/>
        </w:rPr>
      </w:pPr>
    </w:p>
    <w:p w14:paraId="37734C78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44/99-Cus(NT)</w:t>
      </w:r>
      <w:r w:rsidRPr="00791F78">
        <w:rPr>
          <w:rFonts w:eastAsia="宋体"/>
          <w:sz w:val="24"/>
          <w:szCs w:val="24"/>
        </w:rPr>
        <w:t>号</w:t>
      </w:r>
    </w:p>
    <w:p w14:paraId="5D49684A" w14:textId="77777777" w:rsidR="008213FA" w:rsidRPr="00791F78" w:rsidRDefault="008213FA">
      <w:pPr>
        <w:spacing w:line="229" w:lineRule="exact"/>
        <w:rPr>
          <w:rFonts w:eastAsia="宋体"/>
          <w:sz w:val="24"/>
          <w:szCs w:val="24"/>
        </w:rPr>
      </w:pPr>
    </w:p>
    <w:p w14:paraId="6432D0C6" w14:textId="54EFA6D1" w:rsidR="008213FA" w:rsidRPr="00791F78" w:rsidRDefault="00D93B57">
      <w:pPr>
        <w:spacing w:line="247" w:lineRule="auto"/>
        <w:ind w:firstLine="720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GSR-521(E)--</w:t>
      </w:r>
      <w:r w:rsidRPr="00791F78">
        <w:rPr>
          <w:rFonts w:eastAsia="宋体"/>
          <w:sz w:val="24"/>
          <w:szCs w:val="24"/>
        </w:rPr>
        <w:t>中央政府行使</w:t>
      </w:r>
      <w:r w:rsidRPr="00791F78">
        <w:rPr>
          <w:rFonts w:eastAsia="宋体"/>
          <w:sz w:val="24"/>
          <w:szCs w:val="24"/>
        </w:rPr>
        <w:t>1975</w:t>
      </w:r>
      <w:r w:rsidRPr="00791F78">
        <w:rPr>
          <w:rFonts w:eastAsia="宋体"/>
          <w:sz w:val="24"/>
          <w:szCs w:val="24"/>
        </w:rPr>
        <w:t>年</w:t>
      </w:r>
      <w:r w:rsidR="00DA022F" w:rsidRPr="00791F78">
        <w:rPr>
          <w:rFonts w:eastAsia="宋体"/>
          <w:sz w:val="24"/>
          <w:szCs w:val="24"/>
        </w:rPr>
        <w:t>海关</w:t>
      </w:r>
      <w:r w:rsidR="0026126B" w:rsidRPr="00791F78">
        <w:rPr>
          <w:rFonts w:eastAsia="宋体"/>
          <w:sz w:val="24"/>
          <w:szCs w:val="24"/>
        </w:rPr>
        <w:t>关税</w:t>
      </w:r>
      <w:r w:rsidR="00DA022F" w:rsidRPr="00791F78">
        <w:rPr>
          <w:rFonts w:eastAsia="宋体"/>
          <w:sz w:val="24"/>
          <w:szCs w:val="24"/>
        </w:rPr>
        <w:t>法</w:t>
      </w:r>
      <w:r w:rsidRPr="00791F78">
        <w:rPr>
          <w:rFonts w:eastAsia="宋体"/>
          <w:sz w:val="24"/>
          <w:szCs w:val="24"/>
        </w:rPr>
        <w:t>（</w:t>
      </w:r>
      <w:r w:rsidRPr="00791F78">
        <w:rPr>
          <w:rFonts w:eastAsia="宋体"/>
          <w:sz w:val="24"/>
          <w:szCs w:val="24"/>
        </w:rPr>
        <w:t>1975</w:t>
      </w:r>
      <w:r w:rsidRPr="00791F78">
        <w:rPr>
          <w:rFonts w:eastAsia="宋体"/>
          <w:sz w:val="24"/>
          <w:szCs w:val="24"/>
        </w:rPr>
        <w:t>年第</w:t>
      </w:r>
      <w:r w:rsidRPr="00791F78">
        <w:rPr>
          <w:rFonts w:eastAsia="宋体"/>
          <w:sz w:val="24"/>
          <w:szCs w:val="24"/>
        </w:rPr>
        <w:t>51</w:t>
      </w:r>
      <w:r w:rsidRPr="00791F78">
        <w:rPr>
          <w:rFonts w:eastAsia="宋体"/>
          <w:sz w:val="24"/>
          <w:szCs w:val="24"/>
        </w:rPr>
        <w:t>号）第</w:t>
      </w:r>
      <w:r w:rsidRPr="00791F78">
        <w:rPr>
          <w:rFonts w:eastAsia="宋体"/>
          <w:sz w:val="24"/>
          <w:szCs w:val="24"/>
        </w:rPr>
        <w:t>9A</w:t>
      </w:r>
      <w:r w:rsidRPr="00791F78">
        <w:rPr>
          <w:rFonts w:eastAsia="宋体"/>
          <w:sz w:val="24"/>
          <w:szCs w:val="24"/>
        </w:rPr>
        <w:t>节</w:t>
      </w:r>
      <w:r w:rsidRPr="00791F78">
        <w:rPr>
          <w:rFonts w:eastAsia="宋体"/>
          <w:sz w:val="24"/>
          <w:szCs w:val="24"/>
        </w:rPr>
        <w:t>(b)</w:t>
      </w:r>
      <w:r w:rsidRPr="00791F78">
        <w:rPr>
          <w:rFonts w:eastAsia="宋体"/>
          <w:sz w:val="24"/>
          <w:szCs w:val="24"/>
        </w:rPr>
        <w:t>小节和第</w:t>
      </w:r>
      <w:r w:rsidRPr="00791F78">
        <w:rPr>
          <w:rFonts w:eastAsia="宋体"/>
          <w:sz w:val="24"/>
          <w:szCs w:val="24"/>
        </w:rPr>
        <w:t>9B</w:t>
      </w:r>
      <w:r w:rsidRPr="00791F78">
        <w:rPr>
          <w:rFonts w:eastAsia="宋体"/>
          <w:sz w:val="24"/>
          <w:szCs w:val="24"/>
        </w:rPr>
        <w:t>节第（</w:t>
      </w:r>
      <w:r w:rsidRPr="00791F78">
        <w:rPr>
          <w:rFonts w:eastAsia="宋体"/>
          <w:sz w:val="24"/>
          <w:szCs w:val="24"/>
        </w:rPr>
        <w:t>2</w:t>
      </w:r>
      <w:r w:rsidRPr="00791F78">
        <w:rPr>
          <w:rFonts w:eastAsia="宋体"/>
          <w:sz w:val="24"/>
          <w:szCs w:val="24"/>
        </w:rPr>
        <w:t>）小节赋予的权力，</w:t>
      </w:r>
      <w:proofErr w:type="gramStart"/>
      <w:r w:rsidRPr="00791F78">
        <w:rPr>
          <w:rFonts w:eastAsia="宋体"/>
          <w:sz w:val="24"/>
          <w:szCs w:val="24"/>
        </w:rPr>
        <w:t>兹制定</w:t>
      </w:r>
      <w:proofErr w:type="gramEnd"/>
      <w:r w:rsidRPr="00791F78">
        <w:rPr>
          <w:rFonts w:eastAsia="宋体"/>
          <w:sz w:val="24"/>
          <w:szCs w:val="24"/>
        </w:rPr>
        <w:t>以下规则，以修订</w:t>
      </w:r>
      <w:r w:rsidRPr="00791F78">
        <w:rPr>
          <w:rFonts w:eastAsia="宋体"/>
          <w:sz w:val="24"/>
          <w:szCs w:val="24"/>
        </w:rPr>
        <w:t>1995</w:t>
      </w:r>
      <w:r w:rsidRPr="00791F78">
        <w:rPr>
          <w:rFonts w:eastAsia="宋体"/>
          <w:sz w:val="24"/>
          <w:szCs w:val="24"/>
        </w:rPr>
        <w:t>年海关</w:t>
      </w:r>
      <w:r w:rsidR="00961D15" w:rsidRPr="00791F78">
        <w:rPr>
          <w:rFonts w:eastAsia="宋体"/>
          <w:sz w:val="24"/>
          <w:szCs w:val="24"/>
        </w:rPr>
        <w:t>关</w:t>
      </w:r>
      <w:r w:rsidRPr="00791F78">
        <w:rPr>
          <w:rFonts w:eastAsia="宋体"/>
          <w:sz w:val="24"/>
          <w:szCs w:val="24"/>
        </w:rPr>
        <w:t>税则规则（</w:t>
      </w:r>
      <w:r w:rsidR="00961D15" w:rsidRPr="00791F78">
        <w:rPr>
          <w:rFonts w:eastAsia="宋体"/>
          <w:sz w:val="24"/>
          <w:szCs w:val="24"/>
        </w:rPr>
        <w:t>对倾销产品识别、评估及征收反倾销税和损害确定</w:t>
      </w:r>
      <w:r w:rsidRPr="00791F78">
        <w:rPr>
          <w:rFonts w:eastAsia="宋体"/>
          <w:sz w:val="24"/>
          <w:szCs w:val="24"/>
        </w:rPr>
        <w:t>），即：</w:t>
      </w:r>
    </w:p>
    <w:p w14:paraId="0C80195E" w14:textId="77777777" w:rsidR="008213FA" w:rsidRPr="00791F78" w:rsidRDefault="008213FA">
      <w:pPr>
        <w:spacing w:line="215" w:lineRule="exact"/>
        <w:rPr>
          <w:rFonts w:eastAsia="宋体"/>
          <w:sz w:val="24"/>
          <w:szCs w:val="24"/>
        </w:rPr>
      </w:pPr>
    </w:p>
    <w:p w14:paraId="2959F208" w14:textId="4A0582BC" w:rsidR="008213FA" w:rsidRPr="00791F78" w:rsidRDefault="00D93B57">
      <w:pPr>
        <w:numPr>
          <w:ilvl w:val="0"/>
          <w:numId w:val="3"/>
        </w:numPr>
        <w:tabs>
          <w:tab w:val="left" w:pos="720"/>
        </w:tabs>
        <w:spacing w:line="256" w:lineRule="auto"/>
        <w:ind w:left="1440" w:hanging="144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（</w:t>
      </w:r>
      <w:proofErr w:type="spellStart"/>
      <w:r w:rsidRPr="00791F78">
        <w:rPr>
          <w:rFonts w:eastAsia="宋体"/>
          <w:sz w:val="24"/>
          <w:szCs w:val="24"/>
        </w:rPr>
        <w:t>i</w:t>
      </w:r>
      <w:proofErr w:type="spellEnd"/>
      <w:r w:rsidRPr="00791F78">
        <w:rPr>
          <w:rFonts w:eastAsia="宋体"/>
          <w:sz w:val="24"/>
          <w:szCs w:val="24"/>
        </w:rPr>
        <w:t>）本规则可称为</w:t>
      </w:r>
      <w:r w:rsidRPr="00791F78">
        <w:rPr>
          <w:rFonts w:eastAsia="宋体"/>
          <w:sz w:val="24"/>
          <w:szCs w:val="24"/>
        </w:rPr>
        <w:t>1999</w:t>
      </w:r>
      <w:r w:rsidRPr="00791F78">
        <w:rPr>
          <w:rFonts w:eastAsia="宋体"/>
          <w:sz w:val="24"/>
          <w:szCs w:val="24"/>
        </w:rPr>
        <w:t>年</w:t>
      </w:r>
      <w:r w:rsidR="002C0906" w:rsidRPr="00791F78">
        <w:rPr>
          <w:rFonts w:eastAsia="宋体"/>
          <w:sz w:val="24"/>
          <w:szCs w:val="24"/>
        </w:rPr>
        <w:t>海关关税规则</w:t>
      </w:r>
      <w:r w:rsidRPr="00791F78">
        <w:rPr>
          <w:rFonts w:eastAsia="宋体"/>
          <w:sz w:val="24"/>
          <w:szCs w:val="24"/>
        </w:rPr>
        <w:t>修</w:t>
      </w:r>
      <w:r w:rsidR="003727CE" w:rsidRPr="00791F78">
        <w:rPr>
          <w:rFonts w:eastAsia="宋体"/>
          <w:sz w:val="24"/>
          <w:szCs w:val="24"/>
        </w:rPr>
        <w:t>正案</w:t>
      </w:r>
      <w:r w:rsidRPr="00791F78">
        <w:rPr>
          <w:rFonts w:eastAsia="宋体"/>
          <w:sz w:val="24"/>
          <w:szCs w:val="24"/>
        </w:rPr>
        <w:t>（</w:t>
      </w:r>
      <w:r w:rsidR="00DA022F" w:rsidRPr="00791F78">
        <w:rPr>
          <w:rFonts w:eastAsia="宋体"/>
          <w:sz w:val="24"/>
          <w:szCs w:val="24"/>
        </w:rPr>
        <w:t>对倾销产品识别、评估及征收反倾销税和损害确定</w:t>
      </w:r>
      <w:r w:rsidRPr="00791F78">
        <w:rPr>
          <w:rFonts w:eastAsia="宋体"/>
          <w:sz w:val="24"/>
          <w:szCs w:val="24"/>
        </w:rPr>
        <w:t>）。</w:t>
      </w:r>
    </w:p>
    <w:p w14:paraId="7AA6F04C" w14:textId="77777777" w:rsidR="008213FA" w:rsidRPr="00791F78" w:rsidRDefault="008213FA">
      <w:pPr>
        <w:spacing w:line="203" w:lineRule="exact"/>
        <w:rPr>
          <w:rFonts w:eastAsia="宋体"/>
          <w:sz w:val="24"/>
          <w:szCs w:val="24"/>
        </w:rPr>
      </w:pPr>
    </w:p>
    <w:p w14:paraId="715D9A2E" w14:textId="77777777" w:rsidR="008213FA" w:rsidRPr="00791F78" w:rsidRDefault="00D93B57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本规则应自在政府公报上公布之日起生效。</w:t>
      </w:r>
    </w:p>
    <w:p w14:paraId="2EF0B93E" w14:textId="77777777" w:rsidR="008213FA" w:rsidRPr="00791F78" w:rsidRDefault="008213FA">
      <w:pPr>
        <w:spacing w:line="251" w:lineRule="exact"/>
        <w:rPr>
          <w:rFonts w:eastAsia="宋体"/>
          <w:sz w:val="24"/>
          <w:szCs w:val="24"/>
        </w:rPr>
      </w:pPr>
    </w:p>
    <w:p w14:paraId="63FF53F7" w14:textId="57893D75" w:rsidR="008213FA" w:rsidRPr="00791F78" w:rsidRDefault="00D93B57">
      <w:pPr>
        <w:numPr>
          <w:ilvl w:val="0"/>
          <w:numId w:val="3"/>
        </w:numPr>
        <w:tabs>
          <w:tab w:val="left" w:pos="720"/>
        </w:tabs>
        <w:spacing w:line="256" w:lineRule="auto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</w:t>
      </w:r>
      <w:r w:rsidRPr="00791F78">
        <w:rPr>
          <w:rFonts w:eastAsia="宋体"/>
          <w:sz w:val="24"/>
          <w:szCs w:val="24"/>
        </w:rPr>
        <w:t>1995</w:t>
      </w:r>
      <w:r w:rsidRPr="00791F78">
        <w:rPr>
          <w:rFonts w:eastAsia="宋体"/>
          <w:sz w:val="24"/>
          <w:szCs w:val="24"/>
        </w:rPr>
        <w:t>年海关税则规则（</w:t>
      </w:r>
      <w:r w:rsidR="00DA022F" w:rsidRPr="00791F78">
        <w:rPr>
          <w:rFonts w:eastAsia="宋体"/>
          <w:sz w:val="24"/>
          <w:szCs w:val="24"/>
        </w:rPr>
        <w:t>对倾销产品识别、评估及征收反倾销税和损害确定</w:t>
      </w:r>
      <w:r w:rsidRPr="00791F78">
        <w:rPr>
          <w:rFonts w:eastAsia="宋体"/>
          <w:sz w:val="24"/>
          <w:szCs w:val="24"/>
        </w:rPr>
        <w:t>）（以下简称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规则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）第</w:t>
      </w:r>
      <w:r w:rsidRPr="00791F78">
        <w:rPr>
          <w:rFonts w:eastAsia="宋体"/>
          <w:sz w:val="24"/>
          <w:szCs w:val="24"/>
        </w:rPr>
        <w:t>2</w:t>
      </w:r>
      <w:r w:rsidRPr="00791F78">
        <w:rPr>
          <w:rFonts w:eastAsia="宋体"/>
          <w:sz w:val="24"/>
          <w:szCs w:val="24"/>
        </w:rPr>
        <w:t>条</w:t>
      </w:r>
      <w:r w:rsidRPr="00791F78">
        <w:rPr>
          <w:rFonts w:eastAsia="宋体"/>
          <w:sz w:val="24"/>
          <w:szCs w:val="24"/>
        </w:rPr>
        <w:t>(b)</w:t>
      </w:r>
      <w:r w:rsidRPr="00791F78">
        <w:rPr>
          <w:rFonts w:eastAsia="宋体"/>
          <w:sz w:val="24"/>
          <w:szCs w:val="24"/>
        </w:rPr>
        <w:t>款中，</w:t>
      </w:r>
      <w:r w:rsidRPr="00791F78">
        <w:rPr>
          <w:rFonts w:eastAsia="宋体"/>
          <w:sz w:val="24"/>
          <w:szCs w:val="24"/>
        </w:rPr>
        <w:t>-</w:t>
      </w:r>
    </w:p>
    <w:p w14:paraId="55451FC4" w14:textId="77777777" w:rsidR="008213FA" w:rsidRPr="00791F78" w:rsidRDefault="008213FA">
      <w:pPr>
        <w:spacing w:line="203" w:lineRule="exact"/>
        <w:rPr>
          <w:rFonts w:eastAsia="宋体"/>
          <w:sz w:val="24"/>
          <w:szCs w:val="24"/>
        </w:rPr>
      </w:pPr>
    </w:p>
    <w:p w14:paraId="57E097C4" w14:textId="662DFD06" w:rsidR="008213FA" w:rsidRPr="00791F78" w:rsidRDefault="00D93B57">
      <w:pPr>
        <w:numPr>
          <w:ilvl w:val="1"/>
          <w:numId w:val="4"/>
        </w:numPr>
        <w:tabs>
          <w:tab w:val="left" w:pos="1439"/>
        </w:tabs>
        <w:spacing w:line="273" w:lineRule="auto"/>
        <w:ind w:left="144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="003727CE" w:rsidRPr="00791F78">
        <w:rPr>
          <w:rFonts w:eastAsia="宋体"/>
          <w:sz w:val="24"/>
          <w:szCs w:val="24"/>
        </w:rPr>
        <w:t>此类</w:t>
      </w:r>
      <w:r w:rsidRPr="00791F78">
        <w:rPr>
          <w:rFonts w:eastAsia="宋体"/>
          <w:sz w:val="24"/>
          <w:szCs w:val="24"/>
        </w:rPr>
        <w:t>生产商</w:t>
      </w:r>
      <w:r w:rsidR="003727CE" w:rsidRPr="00791F78">
        <w:rPr>
          <w:rFonts w:eastAsia="宋体"/>
          <w:sz w:val="24"/>
          <w:szCs w:val="24"/>
        </w:rPr>
        <w:t>应当</w:t>
      </w:r>
      <w:r w:rsidRPr="00791F78">
        <w:rPr>
          <w:rFonts w:eastAsia="宋体"/>
          <w:sz w:val="24"/>
          <w:szCs w:val="24"/>
        </w:rPr>
        <w:t>被视为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，须代以</w:t>
      </w:r>
      <w:r w:rsidRPr="00791F78">
        <w:rPr>
          <w:rFonts w:eastAsia="宋体"/>
          <w:sz w:val="24"/>
          <w:szCs w:val="24"/>
        </w:rPr>
        <w:t>“</w:t>
      </w:r>
      <w:r w:rsidR="003727CE" w:rsidRPr="00791F78">
        <w:rPr>
          <w:rFonts w:eastAsia="宋体"/>
          <w:sz w:val="24"/>
          <w:szCs w:val="24"/>
        </w:rPr>
        <w:t>此类</w:t>
      </w:r>
      <w:r w:rsidRPr="00791F78">
        <w:rPr>
          <w:rFonts w:eastAsia="宋体"/>
          <w:sz w:val="24"/>
          <w:szCs w:val="24"/>
        </w:rPr>
        <w:t>生产商可</w:t>
      </w:r>
      <w:r w:rsidR="003727CE" w:rsidRPr="00791F78">
        <w:rPr>
          <w:rFonts w:eastAsia="宋体"/>
          <w:sz w:val="24"/>
          <w:szCs w:val="24"/>
        </w:rPr>
        <w:t>能</w:t>
      </w:r>
      <w:r w:rsidRPr="00791F78">
        <w:rPr>
          <w:rFonts w:eastAsia="宋体"/>
          <w:sz w:val="24"/>
          <w:szCs w:val="24"/>
        </w:rPr>
        <w:t>被视为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；</w:t>
      </w:r>
    </w:p>
    <w:p w14:paraId="5E2B13D1" w14:textId="77777777" w:rsidR="008213FA" w:rsidRPr="00791F78" w:rsidRDefault="008213FA">
      <w:pPr>
        <w:spacing w:line="182" w:lineRule="exact"/>
        <w:rPr>
          <w:rFonts w:eastAsia="宋体"/>
          <w:sz w:val="24"/>
          <w:szCs w:val="24"/>
        </w:rPr>
      </w:pPr>
    </w:p>
    <w:p w14:paraId="35A41C0F" w14:textId="3D467BA1" w:rsidR="008213FA" w:rsidRPr="00791F78" w:rsidRDefault="00D93B57">
      <w:pPr>
        <w:numPr>
          <w:ilvl w:val="1"/>
          <w:numId w:val="4"/>
        </w:numPr>
        <w:tabs>
          <w:tab w:val="left" w:pos="1440"/>
        </w:tabs>
        <w:spacing w:line="480" w:lineRule="auto"/>
        <w:ind w:left="1440" w:right="14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在但书之后</w:t>
      </w:r>
      <w:r w:rsidR="003727CE" w:rsidRPr="00791F78">
        <w:rPr>
          <w:rFonts w:eastAsia="宋体"/>
          <w:sz w:val="24"/>
          <w:szCs w:val="24"/>
        </w:rPr>
        <w:t>，</w:t>
      </w:r>
      <w:r w:rsidRPr="00791F78">
        <w:rPr>
          <w:rFonts w:eastAsia="宋体"/>
          <w:sz w:val="24"/>
          <w:szCs w:val="24"/>
        </w:rPr>
        <w:t>应</w:t>
      </w:r>
      <w:r w:rsidR="003727CE" w:rsidRPr="00791F78">
        <w:rPr>
          <w:rFonts w:eastAsia="宋体"/>
          <w:sz w:val="24"/>
          <w:szCs w:val="24"/>
        </w:rPr>
        <w:t>当</w:t>
      </w:r>
      <w:r w:rsidRPr="00791F78">
        <w:rPr>
          <w:rFonts w:eastAsia="宋体"/>
          <w:sz w:val="24"/>
          <w:szCs w:val="24"/>
        </w:rPr>
        <w:t>插入以下</w:t>
      </w:r>
      <w:r w:rsidRPr="00791F78">
        <w:rPr>
          <w:rFonts w:eastAsia="宋体"/>
          <w:sz w:val="24"/>
          <w:szCs w:val="24"/>
          <w:u w:val="single"/>
        </w:rPr>
        <w:t>解释</w:t>
      </w:r>
      <w:r w:rsidRPr="00791F78">
        <w:rPr>
          <w:rFonts w:eastAsia="宋体"/>
          <w:sz w:val="24"/>
          <w:szCs w:val="24"/>
        </w:rPr>
        <w:t>，即</w:t>
      </w:r>
      <w:r w:rsidRPr="00791F78">
        <w:rPr>
          <w:rFonts w:eastAsia="宋体"/>
          <w:sz w:val="24"/>
          <w:szCs w:val="24"/>
        </w:rPr>
        <w:t>:</w:t>
      </w:r>
    </w:p>
    <w:p w14:paraId="73D52AD6" w14:textId="77777777" w:rsidR="008213FA" w:rsidRPr="00791F78" w:rsidRDefault="00D93B57">
      <w:pPr>
        <w:tabs>
          <w:tab w:val="left" w:pos="1440"/>
        </w:tabs>
        <w:spacing w:line="480" w:lineRule="auto"/>
        <w:ind w:left="720" w:right="14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  <w:u w:val="single"/>
        </w:rPr>
        <w:t>解释</w:t>
      </w:r>
      <w:r w:rsidRPr="00791F78">
        <w:rPr>
          <w:rFonts w:eastAsia="宋体"/>
          <w:sz w:val="24"/>
          <w:szCs w:val="24"/>
          <w:u w:val="single"/>
        </w:rPr>
        <w:t>-</w:t>
      </w:r>
      <w:r w:rsidRPr="00791F78">
        <w:rPr>
          <w:rFonts w:eastAsia="宋体"/>
          <w:sz w:val="24"/>
          <w:szCs w:val="24"/>
        </w:rPr>
        <w:t>--</w:t>
      </w:r>
      <w:r w:rsidRPr="00791F78">
        <w:rPr>
          <w:rFonts w:eastAsia="宋体"/>
          <w:sz w:val="24"/>
          <w:szCs w:val="24"/>
        </w:rPr>
        <w:t>就本条而言，</w:t>
      </w:r>
      <w:r w:rsidRPr="00791F78">
        <w:rPr>
          <w:rFonts w:eastAsia="宋体"/>
          <w:sz w:val="24"/>
          <w:szCs w:val="24"/>
        </w:rPr>
        <w:t xml:space="preserve"> </w:t>
      </w:r>
    </w:p>
    <w:p w14:paraId="53D94735" w14:textId="48FED220" w:rsidR="008213FA" w:rsidRPr="00791F78" w:rsidRDefault="00D93B57">
      <w:pPr>
        <w:numPr>
          <w:ilvl w:val="2"/>
          <w:numId w:val="4"/>
        </w:numPr>
        <w:tabs>
          <w:tab w:val="left" w:pos="2160"/>
        </w:tabs>
        <w:ind w:left="216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只有在下列情况下，生产商应被视为</w:t>
      </w:r>
      <w:r w:rsidR="003727CE" w:rsidRPr="00791F78">
        <w:rPr>
          <w:rFonts w:eastAsia="宋体"/>
          <w:sz w:val="24"/>
          <w:szCs w:val="24"/>
        </w:rPr>
        <w:t>有关</w:t>
      </w:r>
      <w:r w:rsidRPr="00791F78">
        <w:rPr>
          <w:rFonts w:eastAsia="宋体"/>
          <w:sz w:val="24"/>
          <w:szCs w:val="24"/>
        </w:rPr>
        <w:t>出口商或</w:t>
      </w:r>
      <w:r w:rsidR="003727CE" w:rsidRPr="00791F78">
        <w:rPr>
          <w:rFonts w:eastAsia="宋体"/>
          <w:sz w:val="24"/>
          <w:szCs w:val="24"/>
        </w:rPr>
        <w:t>有关</w:t>
      </w:r>
      <w:r w:rsidRPr="00791F78">
        <w:rPr>
          <w:rFonts w:eastAsia="宋体"/>
          <w:sz w:val="24"/>
          <w:szCs w:val="24"/>
        </w:rPr>
        <w:t>进口商</w:t>
      </w:r>
      <w:r w:rsidRPr="00791F78">
        <w:rPr>
          <w:rFonts w:eastAsia="宋体"/>
          <w:sz w:val="24"/>
          <w:szCs w:val="24"/>
        </w:rPr>
        <w:t>-</w:t>
      </w:r>
    </w:p>
    <w:p w14:paraId="518D92A5" w14:textId="77777777" w:rsidR="008213FA" w:rsidRPr="00791F78" w:rsidRDefault="008213FA">
      <w:pPr>
        <w:spacing w:line="253" w:lineRule="exact"/>
        <w:rPr>
          <w:rFonts w:eastAsia="宋体"/>
          <w:sz w:val="24"/>
          <w:szCs w:val="24"/>
        </w:rPr>
      </w:pPr>
    </w:p>
    <w:p w14:paraId="3F3FAE57" w14:textId="77777777" w:rsidR="008213FA" w:rsidRPr="00791F78" w:rsidRDefault="00D93B57">
      <w:pPr>
        <w:numPr>
          <w:ilvl w:val="4"/>
          <w:numId w:val="4"/>
        </w:numPr>
        <w:tabs>
          <w:tab w:val="left" w:pos="2880"/>
        </w:tabs>
        <w:ind w:left="288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其中一个直接或间接控制另一个；</w:t>
      </w:r>
      <w:r w:rsidRPr="00791F78">
        <w:rPr>
          <w:rFonts w:eastAsia="宋体"/>
          <w:sz w:val="24"/>
          <w:szCs w:val="24"/>
        </w:rPr>
        <w:t xml:space="preserve"> </w:t>
      </w:r>
      <w:r w:rsidRPr="00791F78">
        <w:rPr>
          <w:rFonts w:eastAsia="宋体"/>
          <w:sz w:val="24"/>
          <w:szCs w:val="24"/>
        </w:rPr>
        <w:t>或</w:t>
      </w:r>
    </w:p>
    <w:p w14:paraId="091016C0" w14:textId="77777777" w:rsidR="008213FA" w:rsidRPr="00791F78" w:rsidRDefault="008213FA">
      <w:pPr>
        <w:spacing w:line="253" w:lineRule="exact"/>
        <w:rPr>
          <w:rFonts w:eastAsia="宋体"/>
          <w:sz w:val="24"/>
          <w:szCs w:val="24"/>
        </w:rPr>
      </w:pPr>
    </w:p>
    <w:p w14:paraId="494580BE" w14:textId="77777777" w:rsidR="008213FA" w:rsidRPr="00791F78" w:rsidRDefault="00D93B57">
      <w:pPr>
        <w:numPr>
          <w:ilvl w:val="3"/>
          <w:numId w:val="4"/>
        </w:numPr>
        <w:tabs>
          <w:tab w:val="left" w:pos="2880"/>
        </w:tabs>
        <w:spacing w:line="255" w:lineRule="auto"/>
        <w:ind w:left="2880" w:hanging="754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两者都直接或间接地由第三方控制；</w:t>
      </w:r>
      <w:r w:rsidRPr="00791F78">
        <w:rPr>
          <w:rFonts w:eastAsia="宋体"/>
          <w:sz w:val="24"/>
          <w:szCs w:val="24"/>
        </w:rPr>
        <w:t xml:space="preserve"> </w:t>
      </w:r>
      <w:r w:rsidRPr="00791F78">
        <w:rPr>
          <w:rFonts w:eastAsia="宋体"/>
          <w:sz w:val="24"/>
          <w:szCs w:val="24"/>
        </w:rPr>
        <w:t>或</w:t>
      </w:r>
    </w:p>
    <w:p w14:paraId="0A68CD52" w14:textId="77777777" w:rsidR="008213FA" w:rsidRPr="00791F78" w:rsidRDefault="008213FA">
      <w:pPr>
        <w:spacing w:line="289" w:lineRule="exact"/>
        <w:rPr>
          <w:rFonts w:eastAsia="宋体"/>
          <w:sz w:val="24"/>
          <w:szCs w:val="24"/>
        </w:rPr>
      </w:pPr>
    </w:p>
    <w:p w14:paraId="71998386" w14:textId="40224D2E" w:rsidR="008213FA" w:rsidRPr="00791F78" w:rsidRDefault="00D93B57">
      <w:pPr>
        <w:numPr>
          <w:ilvl w:val="3"/>
          <w:numId w:val="4"/>
        </w:numPr>
        <w:tabs>
          <w:tab w:val="left" w:pos="2880"/>
        </w:tabs>
        <w:spacing w:line="250" w:lineRule="auto"/>
        <w:ind w:left="2880" w:hanging="754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他们一起直接或间接控制第三方，但条件是有理由相信或</w:t>
      </w:r>
      <w:r w:rsidR="003727CE" w:rsidRPr="00791F78">
        <w:rPr>
          <w:rFonts w:eastAsia="宋体"/>
          <w:sz w:val="24"/>
          <w:szCs w:val="24"/>
        </w:rPr>
        <w:t>有理由</w:t>
      </w:r>
      <w:r w:rsidRPr="00791F78">
        <w:rPr>
          <w:rFonts w:eastAsia="宋体"/>
          <w:sz w:val="24"/>
          <w:szCs w:val="24"/>
        </w:rPr>
        <w:t>怀疑这种关系的影响会使生产商的行为有别于非相关生产商。</w:t>
      </w:r>
      <w:r w:rsidRPr="00791F78">
        <w:rPr>
          <w:rFonts w:eastAsia="宋体"/>
          <w:sz w:val="24"/>
          <w:szCs w:val="24"/>
        </w:rPr>
        <w:t>”</w:t>
      </w:r>
    </w:p>
    <w:p w14:paraId="2957A97C" w14:textId="77777777" w:rsidR="008213FA" w:rsidRPr="00791F78" w:rsidRDefault="008213FA">
      <w:pPr>
        <w:spacing w:line="211" w:lineRule="exact"/>
        <w:rPr>
          <w:rFonts w:eastAsia="宋体"/>
          <w:sz w:val="24"/>
          <w:szCs w:val="24"/>
        </w:rPr>
      </w:pPr>
    </w:p>
    <w:p w14:paraId="230DD2FD" w14:textId="366DBDB9" w:rsidR="008213FA" w:rsidRPr="00791F78" w:rsidRDefault="00D93B57">
      <w:pPr>
        <w:numPr>
          <w:ilvl w:val="0"/>
          <w:numId w:val="5"/>
        </w:numPr>
        <w:tabs>
          <w:tab w:val="left" w:pos="2159"/>
        </w:tabs>
        <w:spacing w:line="256" w:lineRule="auto"/>
        <w:ind w:left="2160" w:hanging="742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="003727CE" w:rsidRPr="00791F78">
        <w:rPr>
          <w:rFonts w:eastAsia="宋体"/>
          <w:sz w:val="24"/>
          <w:szCs w:val="24"/>
        </w:rPr>
        <w:t>一个</w:t>
      </w:r>
      <w:r w:rsidRPr="00791F78">
        <w:rPr>
          <w:rFonts w:eastAsia="宋体"/>
          <w:sz w:val="24"/>
          <w:szCs w:val="24"/>
        </w:rPr>
        <w:t>生产商在法律上或业务上有能力对另一生产商</w:t>
      </w:r>
      <w:r w:rsidR="003727CE" w:rsidRPr="00791F78">
        <w:rPr>
          <w:rFonts w:eastAsia="宋体"/>
          <w:sz w:val="24"/>
          <w:szCs w:val="24"/>
        </w:rPr>
        <w:t>施加限制</w:t>
      </w:r>
      <w:r w:rsidRPr="00791F78">
        <w:rPr>
          <w:rFonts w:eastAsia="宋体"/>
          <w:sz w:val="24"/>
          <w:szCs w:val="24"/>
        </w:rPr>
        <w:t>或指示时，应视为</w:t>
      </w:r>
      <w:r w:rsidR="003727CE" w:rsidRPr="00791F78">
        <w:rPr>
          <w:rFonts w:eastAsia="宋体"/>
          <w:sz w:val="24"/>
          <w:szCs w:val="24"/>
        </w:rPr>
        <w:t>对另一生产商的</w:t>
      </w:r>
      <w:r w:rsidRPr="00791F78">
        <w:rPr>
          <w:rFonts w:eastAsia="宋体"/>
          <w:sz w:val="24"/>
          <w:szCs w:val="24"/>
        </w:rPr>
        <w:t>控制。</w:t>
      </w:r>
      <w:r w:rsidRPr="00791F78">
        <w:rPr>
          <w:rFonts w:eastAsia="宋体"/>
          <w:sz w:val="24"/>
          <w:szCs w:val="24"/>
        </w:rPr>
        <w:t>”</w:t>
      </w:r>
    </w:p>
    <w:p w14:paraId="6463FEB0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pgSz w:w="11900" w:h="16840"/>
          <w:pgMar w:top="688" w:right="1440" w:bottom="1116" w:left="1440" w:header="0" w:footer="0" w:gutter="0"/>
          <w:cols w:space="720" w:equalWidth="0">
            <w:col w:w="9020"/>
          </w:cols>
        </w:sectPr>
      </w:pPr>
    </w:p>
    <w:p w14:paraId="6B2E8A6A" w14:textId="77777777" w:rsidR="008213FA" w:rsidRPr="00791F78" w:rsidRDefault="00D93B57">
      <w:pPr>
        <w:ind w:right="20"/>
        <w:jc w:val="right"/>
        <w:rPr>
          <w:rFonts w:eastAsia="宋体"/>
          <w:sz w:val="24"/>
          <w:szCs w:val="24"/>
        </w:rPr>
      </w:pPr>
      <w:bookmarkStart w:id="3" w:name="page3"/>
      <w:bookmarkEnd w:id="3"/>
      <w:r w:rsidRPr="00791F78">
        <w:rPr>
          <w:rFonts w:eastAsia="宋体"/>
          <w:sz w:val="24"/>
          <w:szCs w:val="24"/>
        </w:rPr>
        <w:lastRenderedPageBreak/>
        <w:t>G/ADP/N/1/IND/2/Suppl.2</w:t>
      </w:r>
    </w:p>
    <w:p w14:paraId="7380F499" w14:textId="77777777" w:rsidR="008213FA" w:rsidRPr="00791F78" w:rsidRDefault="008213FA">
      <w:pPr>
        <w:spacing w:line="23" w:lineRule="exact"/>
        <w:rPr>
          <w:rFonts w:eastAsia="宋体"/>
          <w:sz w:val="24"/>
          <w:szCs w:val="24"/>
        </w:rPr>
      </w:pPr>
    </w:p>
    <w:p w14:paraId="35348798" w14:textId="77777777" w:rsidR="008213FA" w:rsidRPr="00791F78" w:rsidRDefault="00D93B57">
      <w:pPr>
        <w:ind w:right="20"/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G/SCM/N/1/IND/2/Suppl.2</w:t>
      </w:r>
    </w:p>
    <w:p w14:paraId="3B42AF5B" w14:textId="77777777" w:rsidR="008213FA" w:rsidRPr="00791F78" w:rsidRDefault="008213FA">
      <w:pPr>
        <w:spacing w:line="1" w:lineRule="exact"/>
        <w:rPr>
          <w:rFonts w:eastAsia="宋体"/>
          <w:sz w:val="24"/>
          <w:szCs w:val="24"/>
        </w:rPr>
      </w:pPr>
    </w:p>
    <w:p w14:paraId="084E076F" w14:textId="77777777" w:rsidR="008213FA" w:rsidRPr="00791F78" w:rsidRDefault="00D93B57">
      <w:pPr>
        <w:ind w:right="20"/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3</w:t>
      </w:r>
      <w:r w:rsidRPr="00791F78">
        <w:rPr>
          <w:rFonts w:eastAsia="宋体"/>
          <w:sz w:val="24"/>
          <w:szCs w:val="24"/>
        </w:rPr>
        <w:t>页</w:t>
      </w:r>
    </w:p>
    <w:p w14:paraId="347FEAD7" w14:textId="77777777" w:rsidR="008213FA" w:rsidRPr="00791F78" w:rsidRDefault="008213FA">
      <w:pPr>
        <w:spacing w:line="200" w:lineRule="exact"/>
        <w:rPr>
          <w:rFonts w:eastAsia="宋体"/>
          <w:sz w:val="24"/>
          <w:szCs w:val="24"/>
        </w:rPr>
      </w:pPr>
    </w:p>
    <w:p w14:paraId="2A6118D1" w14:textId="77777777" w:rsidR="008213FA" w:rsidRPr="00791F78" w:rsidRDefault="008213FA">
      <w:pPr>
        <w:spacing w:line="281" w:lineRule="exact"/>
        <w:rPr>
          <w:rFonts w:eastAsia="宋体"/>
          <w:sz w:val="24"/>
          <w:szCs w:val="24"/>
        </w:rPr>
      </w:pPr>
    </w:p>
    <w:p w14:paraId="6A01D42D" w14:textId="243A36B6" w:rsidR="008213FA" w:rsidRPr="00791F78" w:rsidRDefault="00D93B57">
      <w:pPr>
        <w:numPr>
          <w:ilvl w:val="0"/>
          <w:numId w:val="6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在上述规则第</w:t>
      </w:r>
      <w:r w:rsidRPr="00791F78">
        <w:rPr>
          <w:rFonts w:eastAsia="宋体"/>
          <w:sz w:val="24"/>
          <w:szCs w:val="24"/>
        </w:rPr>
        <w:t>4</w:t>
      </w:r>
      <w:r w:rsidRPr="00791F78">
        <w:rPr>
          <w:rFonts w:eastAsia="宋体"/>
          <w:sz w:val="24"/>
          <w:szCs w:val="24"/>
        </w:rPr>
        <w:t>条中，</w:t>
      </w:r>
      <w:r w:rsidRPr="00791F78">
        <w:rPr>
          <w:rFonts w:eastAsia="宋体"/>
          <w:sz w:val="24"/>
          <w:szCs w:val="24"/>
        </w:rPr>
        <w:t>(d)</w:t>
      </w:r>
      <w:r w:rsidRPr="00791F78">
        <w:rPr>
          <w:rFonts w:eastAsia="宋体"/>
          <w:sz w:val="24"/>
          <w:szCs w:val="24"/>
        </w:rPr>
        <w:t>款应以下列条款取代</w:t>
      </w:r>
      <w:r w:rsidR="003727CE" w:rsidRPr="00791F78">
        <w:rPr>
          <w:rFonts w:eastAsia="宋体"/>
          <w:sz w:val="24"/>
          <w:szCs w:val="24"/>
        </w:rPr>
        <w:t>，即</w:t>
      </w:r>
      <w:r w:rsidRPr="00791F78">
        <w:rPr>
          <w:rFonts w:eastAsia="宋体"/>
          <w:sz w:val="24"/>
          <w:szCs w:val="24"/>
        </w:rPr>
        <w:t>:</w:t>
      </w:r>
    </w:p>
    <w:p w14:paraId="07C413DA" w14:textId="77777777" w:rsidR="00DA022F" w:rsidRPr="00791F78" w:rsidRDefault="00DA022F" w:rsidP="00CF6021">
      <w:pPr>
        <w:tabs>
          <w:tab w:val="left" w:pos="720"/>
        </w:tabs>
        <w:rPr>
          <w:rFonts w:eastAsia="宋体"/>
          <w:sz w:val="24"/>
          <w:szCs w:val="24"/>
        </w:rPr>
      </w:pPr>
    </w:p>
    <w:p w14:paraId="30330764" w14:textId="69827844" w:rsidR="00DA022F" w:rsidRPr="00791F78" w:rsidRDefault="00DA022F" w:rsidP="00CF6021">
      <w:pPr>
        <w:tabs>
          <w:tab w:val="left" w:pos="720"/>
        </w:tabs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 xml:space="preserve">“(d) </w:t>
      </w:r>
      <w:r w:rsidRPr="00791F78">
        <w:rPr>
          <w:rFonts w:eastAsia="宋体"/>
          <w:sz w:val="24"/>
          <w:szCs w:val="24"/>
        </w:rPr>
        <w:t>若征收反倾销税，</w:t>
      </w:r>
      <w:r w:rsidR="007E3BA0" w:rsidRPr="00791F78">
        <w:rPr>
          <w:rFonts w:eastAsia="宋体"/>
          <w:sz w:val="24"/>
          <w:szCs w:val="24"/>
        </w:rPr>
        <w:t>所</w:t>
      </w:r>
      <w:r w:rsidRPr="00791F78">
        <w:rPr>
          <w:rFonts w:eastAsia="宋体"/>
          <w:sz w:val="24"/>
          <w:szCs w:val="24"/>
        </w:rPr>
        <w:t>建议反倾销税的数额</w:t>
      </w:r>
      <w:r w:rsidR="007E3BA0" w:rsidRPr="00791F78">
        <w:rPr>
          <w:rFonts w:eastAsia="宋体"/>
          <w:sz w:val="24"/>
          <w:szCs w:val="24"/>
        </w:rPr>
        <w:t>应</w:t>
      </w:r>
      <w:r w:rsidRPr="00791F78">
        <w:rPr>
          <w:rFonts w:eastAsia="宋体"/>
          <w:sz w:val="24"/>
          <w:szCs w:val="24"/>
        </w:rPr>
        <w:t>等于或低于倾销幅度，</w:t>
      </w:r>
      <w:r w:rsidR="007E3BA0" w:rsidRPr="00791F78">
        <w:rPr>
          <w:rFonts w:eastAsia="宋体"/>
          <w:sz w:val="24"/>
          <w:szCs w:val="24"/>
        </w:rPr>
        <w:t>以消除对国内产业的损害，以及建议</w:t>
      </w:r>
      <w:r w:rsidRPr="00791F78">
        <w:rPr>
          <w:rFonts w:eastAsia="宋体"/>
          <w:sz w:val="24"/>
          <w:szCs w:val="24"/>
        </w:rPr>
        <w:t>征税</w:t>
      </w:r>
      <w:r w:rsidR="007E3BA0" w:rsidRPr="00791F78">
        <w:rPr>
          <w:rFonts w:eastAsia="宋体"/>
          <w:sz w:val="24"/>
          <w:szCs w:val="24"/>
        </w:rPr>
        <w:t>开始日期</w:t>
      </w:r>
      <w:r w:rsidRPr="00791F78">
        <w:rPr>
          <w:rFonts w:eastAsia="宋体"/>
          <w:sz w:val="24"/>
          <w:szCs w:val="24"/>
        </w:rPr>
        <w:t>；</w:t>
      </w:r>
      <w:r w:rsidR="007E3BA0" w:rsidRPr="00791F78">
        <w:rPr>
          <w:rFonts w:eastAsia="宋体"/>
          <w:sz w:val="24"/>
          <w:szCs w:val="24"/>
        </w:rPr>
        <w:t>以及</w:t>
      </w:r>
      <w:r w:rsidRPr="00791F78">
        <w:rPr>
          <w:rFonts w:eastAsia="宋体"/>
          <w:sz w:val="24"/>
          <w:szCs w:val="24"/>
        </w:rPr>
        <w:t>”</w:t>
      </w:r>
    </w:p>
    <w:p w14:paraId="6335C2C6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pgSz w:w="11900" w:h="16840"/>
          <w:pgMar w:top="688" w:right="1420" w:bottom="1440" w:left="1440" w:header="0" w:footer="0" w:gutter="0"/>
          <w:cols w:space="720" w:equalWidth="0">
            <w:col w:w="9040"/>
          </w:cols>
        </w:sectPr>
      </w:pPr>
    </w:p>
    <w:p w14:paraId="48A6BABF" w14:textId="77777777" w:rsidR="00DA022F" w:rsidRPr="00791F78" w:rsidRDefault="00DA022F">
      <w:pPr>
        <w:spacing w:line="200" w:lineRule="exact"/>
        <w:rPr>
          <w:rFonts w:eastAsia="宋体"/>
          <w:sz w:val="24"/>
          <w:szCs w:val="24"/>
        </w:rPr>
      </w:pPr>
    </w:p>
    <w:p w14:paraId="3F5700BC" w14:textId="77777777" w:rsidR="00DA022F" w:rsidRPr="00791F78" w:rsidRDefault="00DA022F">
      <w:pPr>
        <w:spacing w:line="200" w:lineRule="exact"/>
        <w:rPr>
          <w:rFonts w:eastAsia="宋体"/>
          <w:sz w:val="24"/>
          <w:szCs w:val="24"/>
        </w:rPr>
      </w:pPr>
    </w:p>
    <w:p w14:paraId="248164EC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type w:val="continuous"/>
          <w:pgSz w:w="11900" w:h="16840"/>
          <w:pgMar w:top="688" w:right="1420" w:bottom="1440" w:left="1440" w:header="0" w:footer="0" w:gutter="0"/>
          <w:cols w:num="2" w:space="720" w:equalWidth="0">
            <w:col w:w="1060" w:space="380"/>
            <w:col w:w="7600"/>
          </w:cols>
        </w:sectPr>
      </w:pPr>
    </w:p>
    <w:p w14:paraId="13096643" w14:textId="77777777" w:rsidR="008213FA" w:rsidRPr="00791F78" w:rsidRDefault="008213FA">
      <w:pPr>
        <w:spacing w:line="4" w:lineRule="exact"/>
        <w:rPr>
          <w:rFonts w:eastAsia="宋体"/>
          <w:sz w:val="24"/>
          <w:szCs w:val="24"/>
        </w:rPr>
      </w:pPr>
    </w:p>
    <w:p w14:paraId="6AA4D87A" w14:textId="12CD6019" w:rsidR="008213FA" w:rsidRPr="00791F78" w:rsidRDefault="00D93B57">
      <w:pPr>
        <w:numPr>
          <w:ilvl w:val="0"/>
          <w:numId w:val="7"/>
        </w:numPr>
        <w:tabs>
          <w:tab w:val="left" w:pos="720"/>
        </w:tabs>
        <w:spacing w:line="273" w:lineRule="auto"/>
        <w:ind w:right="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在上述规则第</w:t>
      </w:r>
      <w:r w:rsidRPr="00791F78">
        <w:rPr>
          <w:rFonts w:eastAsia="宋体"/>
          <w:sz w:val="24"/>
          <w:szCs w:val="24"/>
        </w:rPr>
        <w:t>15</w:t>
      </w:r>
      <w:r w:rsidRPr="00791F78">
        <w:rPr>
          <w:rFonts w:eastAsia="宋体"/>
          <w:sz w:val="24"/>
          <w:szCs w:val="24"/>
        </w:rPr>
        <w:t>条</w:t>
      </w:r>
      <w:r w:rsidRPr="00791F78">
        <w:rPr>
          <w:rFonts w:eastAsia="宋体"/>
          <w:sz w:val="24"/>
          <w:szCs w:val="24"/>
        </w:rPr>
        <w:t>b</w:t>
      </w:r>
      <w:r w:rsidRPr="00791F78">
        <w:rPr>
          <w:rFonts w:eastAsia="宋体"/>
          <w:sz w:val="24"/>
          <w:szCs w:val="24"/>
        </w:rPr>
        <w:t>）款中，</w:t>
      </w:r>
      <w:r w:rsidR="007E3BA0" w:rsidRPr="00791F78">
        <w:rPr>
          <w:rFonts w:eastAsia="宋体"/>
          <w:sz w:val="24"/>
          <w:szCs w:val="24"/>
        </w:rPr>
        <w:t>但是部分</w:t>
      </w:r>
      <w:r w:rsidRPr="00791F78">
        <w:rPr>
          <w:rFonts w:eastAsia="宋体"/>
          <w:sz w:val="24"/>
          <w:szCs w:val="24"/>
        </w:rPr>
        <w:t>应改为下列</w:t>
      </w:r>
      <w:r w:rsidR="007E3BA0" w:rsidRPr="00791F78">
        <w:rPr>
          <w:rFonts w:eastAsia="宋体"/>
          <w:sz w:val="24"/>
          <w:szCs w:val="24"/>
        </w:rPr>
        <w:t>内容，即</w:t>
      </w:r>
      <w:r w:rsidRPr="00791F78">
        <w:rPr>
          <w:rFonts w:eastAsia="宋体"/>
          <w:sz w:val="24"/>
          <w:szCs w:val="24"/>
        </w:rPr>
        <w:t>:</w:t>
      </w:r>
    </w:p>
    <w:p w14:paraId="5111ACBE" w14:textId="77777777" w:rsidR="008213FA" w:rsidRPr="00791F78" w:rsidRDefault="008213FA">
      <w:pPr>
        <w:spacing w:line="185" w:lineRule="exact"/>
        <w:rPr>
          <w:rFonts w:eastAsia="宋体"/>
          <w:sz w:val="24"/>
          <w:szCs w:val="24"/>
        </w:rPr>
      </w:pPr>
    </w:p>
    <w:p w14:paraId="2E1CC87F" w14:textId="1BFB92B1" w:rsidR="008213FA" w:rsidRPr="00791F78" w:rsidRDefault="00D93B57">
      <w:pPr>
        <w:spacing w:line="250" w:lineRule="auto"/>
        <w:ind w:left="720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但如有违反承诺之情形，指定</w:t>
      </w:r>
      <w:r w:rsidR="007E3BA0" w:rsidRPr="00791F78">
        <w:rPr>
          <w:rFonts w:eastAsia="宋体"/>
          <w:sz w:val="24"/>
          <w:szCs w:val="24"/>
        </w:rPr>
        <w:t>当局</w:t>
      </w:r>
      <w:r w:rsidRPr="00791F78">
        <w:rPr>
          <w:rFonts w:eastAsia="宋体"/>
          <w:sz w:val="24"/>
          <w:szCs w:val="24"/>
        </w:rPr>
        <w:t>应尽快将</w:t>
      </w:r>
      <w:r w:rsidR="007E3BA0" w:rsidRPr="00791F78">
        <w:rPr>
          <w:rFonts w:eastAsia="宋体"/>
          <w:sz w:val="24"/>
          <w:szCs w:val="24"/>
        </w:rPr>
        <w:t>对承诺的违反事宜</w:t>
      </w:r>
      <w:r w:rsidRPr="00791F78">
        <w:rPr>
          <w:rFonts w:eastAsia="宋体"/>
          <w:sz w:val="24"/>
          <w:szCs w:val="24"/>
        </w:rPr>
        <w:t>通知中央政府，并建议自违反承诺之日起依本</w:t>
      </w:r>
      <w:r w:rsidR="007E3BA0" w:rsidRPr="00791F78">
        <w:rPr>
          <w:rFonts w:eastAsia="宋体"/>
          <w:sz w:val="24"/>
          <w:szCs w:val="24"/>
        </w:rPr>
        <w:t>规则</w:t>
      </w:r>
      <w:r w:rsidRPr="00791F78">
        <w:rPr>
          <w:rFonts w:eastAsia="宋体"/>
          <w:sz w:val="24"/>
          <w:szCs w:val="24"/>
        </w:rPr>
        <w:t>规定征收临时关税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。</w:t>
      </w:r>
    </w:p>
    <w:p w14:paraId="214470F4" w14:textId="77777777" w:rsidR="008213FA" w:rsidRPr="00791F78" w:rsidRDefault="008213FA">
      <w:pPr>
        <w:spacing w:line="211" w:lineRule="exact"/>
        <w:rPr>
          <w:rFonts w:eastAsia="宋体"/>
          <w:sz w:val="24"/>
          <w:szCs w:val="24"/>
        </w:rPr>
      </w:pPr>
    </w:p>
    <w:p w14:paraId="59ADF8B0" w14:textId="77777777" w:rsidR="008213FA" w:rsidRPr="00791F78" w:rsidRDefault="00D93B57">
      <w:pPr>
        <w:numPr>
          <w:ilvl w:val="0"/>
          <w:numId w:val="8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在上述规则第</w:t>
      </w:r>
      <w:r w:rsidRPr="00791F78">
        <w:rPr>
          <w:rFonts w:eastAsia="宋体"/>
          <w:sz w:val="24"/>
          <w:szCs w:val="24"/>
        </w:rPr>
        <w:t>17</w:t>
      </w:r>
      <w:r w:rsidRPr="00791F78">
        <w:rPr>
          <w:rFonts w:eastAsia="宋体"/>
          <w:sz w:val="24"/>
          <w:szCs w:val="24"/>
        </w:rPr>
        <w:t>条第（</w:t>
      </w:r>
      <w:r w:rsidRPr="00791F78">
        <w:rPr>
          <w:rFonts w:eastAsia="宋体"/>
          <w:sz w:val="24"/>
          <w:szCs w:val="24"/>
        </w:rPr>
        <w:t>1</w:t>
      </w:r>
      <w:r w:rsidRPr="00791F78">
        <w:rPr>
          <w:rFonts w:eastAsia="宋体"/>
          <w:sz w:val="24"/>
          <w:szCs w:val="24"/>
        </w:rPr>
        <w:t>）款中，</w:t>
      </w:r>
    </w:p>
    <w:p w14:paraId="022A4CAF" w14:textId="77777777" w:rsidR="008213FA" w:rsidRPr="00791F78" w:rsidRDefault="008213FA">
      <w:pPr>
        <w:spacing w:line="251" w:lineRule="exact"/>
        <w:rPr>
          <w:rFonts w:eastAsia="宋体"/>
          <w:sz w:val="24"/>
          <w:szCs w:val="24"/>
        </w:rPr>
      </w:pPr>
    </w:p>
    <w:p w14:paraId="2BCC99C3" w14:textId="1D37547D" w:rsidR="008213FA" w:rsidRPr="00791F78" w:rsidRDefault="00D93B57">
      <w:pPr>
        <w:numPr>
          <w:ilvl w:val="1"/>
          <w:numId w:val="8"/>
        </w:numPr>
        <w:tabs>
          <w:tab w:val="left" w:pos="1440"/>
        </w:tabs>
        <w:spacing w:line="273" w:lineRule="auto"/>
        <w:ind w:left="1440" w:right="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</w:t>
      </w:r>
      <w:r w:rsidRPr="00791F78">
        <w:rPr>
          <w:rFonts w:eastAsia="宋体"/>
          <w:sz w:val="24"/>
          <w:szCs w:val="24"/>
        </w:rPr>
        <w:t>(a)</w:t>
      </w:r>
      <w:r w:rsidRPr="00791F78">
        <w:rPr>
          <w:rFonts w:eastAsia="宋体"/>
          <w:sz w:val="24"/>
          <w:szCs w:val="24"/>
        </w:rPr>
        <w:t>条中，在第一项但书中，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在特殊情况下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应改为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在特殊情况下</w:t>
      </w:r>
      <w:r w:rsidR="007E3BA0" w:rsidRPr="00791F78">
        <w:rPr>
          <w:rFonts w:eastAsia="宋体"/>
          <w:sz w:val="24"/>
          <w:szCs w:val="24"/>
        </w:rPr>
        <w:t>自主</w:t>
      </w:r>
      <w:r w:rsidRPr="00791F78">
        <w:rPr>
          <w:rFonts w:eastAsia="宋体"/>
          <w:sz w:val="24"/>
          <w:szCs w:val="24"/>
        </w:rPr>
        <w:t>酌情决定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；</w:t>
      </w:r>
    </w:p>
    <w:p w14:paraId="63338C8E" w14:textId="77777777" w:rsidR="008213FA" w:rsidRPr="00791F78" w:rsidRDefault="008213FA">
      <w:pPr>
        <w:spacing w:line="185" w:lineRule="exact"/>
        <w:rPr>
          <w:rFonts w:eastAsia="宋体"/>
          <w:sz w:val="24"/>
          <w:szCs w:val="24"/>
        </w:rPr>
      </w:pPr>
    </w:p>
    <w:p w14:paraId="4BA415B4" w14:textId="6F870520" w:rsidR="008213FA" w:rsidRPr="00791F78" w:rsidRDefault="00D93B57">
      <w:pPr>
        <w:numPr>
          <w:ilvl w:val="1"/>
          <w:numId w:val="8"/>
        </w:numPr>
        <w:tabs>
          <w:tab w:val="left" w:pos="1440"/>
        </w:tabs>
        <w:ind w:left="144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以下列条款取代</w:t>
      </w:r>
      <w:r w:rsidRPr="00791F78">
        <w:rPr>
          <w:rFonts w:eastAsia="宋体"/>
          <w:sz w:val="24"/>
          <w:szCs w:val="24"/>
        </w:rPr>
        <w:t>(b)</w:t>
      </w:r>
      <w:r w:rsidRPr="00791F78">
        <w:rPr>
          <w:rFonts w:eastAsia="宋体"/>
          <w:sz w:val="24"/>
          <w:szCs w:val="24"/>
        </w:rPr>
        <w:t>款</w:t>
      </w:r>
      <w:r w:rsidR="007E3BA0" w:rsidRPr="00791F78">
        <w:rPr>
          <w:rFonts w:eastAsia="宋体"/>
          <w:sz w:val="24"/>
          <w:szCs w:val="24"/>
        </w:rPr>
        <w:t>，即</w:t>
      </w:r>
      <w:r w:rsidRPr="00791F78">
        <w:rPr>
          <w:rFonts w:eastAsia="宋体"/>
          <w:sz w:val="24"/>
          <w:szCs w:val="24"/>
        </w:rPr>
        <w:t>:</w:t>
      </w:r>
    </w:p>
    <w:p w14:paraId="70E1665E" w14:textId="77777777" w:rsidR="008213FA" w:rsidRPr="00791F78" w:rsidRDefault="008213FA">
      <w:pPr>
        <w:rPr>
          <w:rFonts w:eastAsia="宋体"/>
          <w:sz w:val="24"/>
          <w:szCs w:val="24"/>
        </w:rPr>
        <w:sectPr w:rsidR="008213FA" w:rsidRPr="00791F78">
          <w:type w:val="continuous"/>
          <w:pgSz w:w="11900" w:h="16840"/>
          <w:pgMar w:top="688" w:right="1420" w:bottom="1440" w:left="1440" w:header="0" w:footer="0" w:gutter="0"/>
          <w:cols w:space="720" w:equalWidth="0">
            <w:col w:w="9040"/>
          </w:cols>
        </w:sectPr>
      </w:pPr>
    </w:p>
    <w:p w14:paraId="12210509" w14:textId="77777777" w:rsidR="008213FA" w:rsidRPr="00791F78" w:rsidRDefault="008213FA">
      <w:pPr>
        <w:spacing w:line="251" w:lineRule="exact"/>
        <w:rPr>
          <w:rFonts w:eastAsia="宋体"/>
          <w:sz w:val="24"/>
          <w:szCs w:val="24"/>
        </w:rPr>
      </w:pPr>
    </w:p>
    <w:p w14:paraId="5BE0831C" w14:textId="6158480E" w:rsidR="008213FA" w:rsidRPr="00791F78" w:rsidRDefault="008213FA">
      <w:pPr>
        <w:spacing w:line="20" w:lineRule="exact"/>
        <w:rPr>
          <w:rFonts w:eastAsia="宋体"/>
          <w:sz w:val="24"/>
          <w:szCs w:val="24"/>
        </w:rPr>
      </w:pPr>
    </w:p>
    <w:p w14:paraId="1BEFDA24" w14:textId="28A22060" w:rsidR="008213FA" w:rsidRPr="00791F78" w:rsidRDefault="00D93B57">
      <w:pPr>
        <w:spacing w:line="273" w:lineRule="auto"/>
        <w:ind w:right="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（</w:t>
      </w:r>
      <w:r w:rsidRPr="00791F78">
        <w:rPr>
          <w:rFonts w:eastAsia="宋体"/>
          <w:sz w:val="24"/>
          <w:szCs w:val="24"/>
        </w:rPr>
        <w:t>b</w:t>
      </w:r>
      <w:r w:rsidRPr="00791F78">
        <w:rPr>
          <w:rFonts w:eastAsia="宋体"/>
          <w:sz w:val="24"/>
          <w:szCs w:val="24"/>
        </w:rPr>
        <w:t>）</w:t>
      </w:r>
      <w:r w:rsidR="007E3BA0" w:rsidRPr="00791F78">
        <w:rPr>
          <w:rFonts w:eastAsia="宋体"/>
          <w:sz w:val="24"/>
          <w:szCs w:val="24"/>
        </w:rPr>
        <w:t>若征收反倾销税，则</w:t>
      </w:r>
      <w:r w:rsidRPr="00791F78">
        <w:rPr>
          <w:rFonts w:eastAsia="宋体"/>
          <w:sz w:val="24"/>
          <w:szCs w:val="24"/>
        </w:rPr>
        <w:t>建议</w:t>
      </w:r>
      <w:r w:rsidR="007E3BA0" w:rsidRPr="00791F78">
        <w:rPr>
          <w:rFonts w:eastAsia="宋体"/>
          <w:sz w:val="24"/>
          <w:szCs w:val="24"/>
        </w:rPr>
        <w:t>应</w:t>
      </w:r>
      <w:r w:rsidRPr="00791F78">
        <w:rPr>
          <w:rFonts w:eastAsia="宋体"/>
          <w:sz w:val="24"/>
          <w:szCs w:val="24"/>
        </w:rPr>
        <w:t>征收的</w:t>
      </w:r>
      <w:r w:rsidR="007E3BA0" w:rsidRPr="00791F78">
        <w:rPr>
          <w:rFonts w:eastAsia="宋体"/>
          <w:sz w:val="24"/>
          <w:szCs w:val="24"/>
        </w:rPr>
        <w:t>反倾销税</w:t>
      </w:r>
      <w:r w:rsidRPr="00791F78">
        <w:rPr>
          <w:rFonts w:eastAsia="宋体"/>
          <w:sz w:val="24"/>
          <w:szCs w:val="24"/>
        </w:rPr>
        <w:t>税额</w:t>
      </w:r>
      <w:r w:rsidR="007E3BA0" w:rsidRPr="00791F78">
        <w:rPr>
          <w:rFonts w:eastAsia="宋体"/>
          <w:sz w:val="24"/>
          <w:szCs w:val="24"/>
        </w:rPr>
        <w:t>将能够消除</w:t>
      </w:r>
      <w:r w:rsidRPr="00791F78">
        <w:rPr>
          <w:rFonts w:eastAsia="宋体"/>
          <w:sz w:val="24"/>
          <w:szCs w:val="24"/>
        </w:rPr>
        <w:t>对国内</w:t>
      </w:r>
      <w:r w:rsidR="00DA022F" w:rsidRPr="00791F78">
        <w:rPr>
          <w:rFonts w:eastAsia="宋体"/>
          <w:sz w:val="24"/>
          <w:szCs w:val="24"/>
        </w:rPr>
        <w:t>产业</w:t>
      </w:r>
      <w:r w:rsidRPr="00791F78">
        <w:rPr>
          <w:rFonts w:eastAsia="宋体"/>
          <w:sz w:val="24"/>
          <w:szCs w:val="24"/>
        </w:rPr>
        <w:t>的损害。</w:t>
      </w:r>
      <w:r w:rsidRPr="00791F78">
        <w:rPr>
          <w:rFonts w:eastAsia="宋体"/>
          <w:sz w:val="24"/>
          <w:szCs w:val="24"/>
        </w:rPr>
        <w:t>”</w:t>
      </w:r>
    </w:p>
    <w:p w14:paraId="5B904CCD" w14:textId="77777777" w:rsidR="008213FA" w:rsidRPr="00791F78" w:rsidRDefault="008213FA">
      <w:pPr>
        <w:rPr>
          <w:rFonts w:eastAsia="宋体"/>
          <w:sz w:val="24"/>
          <w:szCs w:val="24"/>
        </w:rPr>
      </w:pPr>
    </w:p>
    <w:p w14:paraId="49DF3761" w14:textId="6EC0B91F" w:rsidR="008213FA" w:rsidRPr="00791F78" w:rsidRDefault="00D93B57">
      <w:pPr>
        <w:numPr>
          <w:ilvl w:val="0"/>
          <w:numId w:val="9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</w:t>
      </w:r>
      <w:proofErr w:type="gramStart"/>
      <w:r w:rsidRPr="00791F78">
        <w:rPr>
          <w:rFonts w:eastAsia="宋体"/>
          <w:sz w:val="24"/>
          <w:szCs w:val="24"/>
        </w:rPr>
        <w:t>规则第</w:t>
      </w:r>
      <w:r w:rsidRPr="00791F78">
        <w:rPr>
          <w:rFonts w:eastAsia="宋体"/>
          <w:sz w:val="24"/>
          <w:szCs w:val="24"/>
        </w:rPr>
        <w:t>1</w:t>
      </w:r>
      <w:proofErr w:type="gramEnd"/>
      <w:r w:rsidRPr="00791F78">
        <w:rPr>
          <w:rFonts w:eastAsia="宋体"/>
          <w:sz w:val="24"/>
          <w:szCs w:val="24"/>
        </w:rPr>
        <w:t>B</w:t>
      </w:r>
      <w:r w:rsidRPr="00791F78">
        <w:rPr>
          <w:rFonts w:eastAsia="宋体"/>
          <w:sz w:val="24"/>
          <w:szCs w:val="24"/>
        </w:rPr>
        <w:t>条第（</w:t>
      </w:r>
      <w:r w:rsidRPr="00791F78">
        <w:rPr>
          <w:rFonts w:eastAsia="宋体"/>
          <w:sz w:val="24"/>
          <w:szCs w:val="24"/>
        </w:rPr>
        <w:t>1</w:t>
      </w:r>
      <w:r w:rsidRPr="00791F78">
        <w:rPr>
          <w:rFonts w:eastAsia="宋体"/>
          <w:sz w:val="24"/>
          <w:szCs w:val="24"/>
        </w:rPr>
        <w:t>）款中，但书</w:t>
      </w:r>
      <w:r w:rsidR="007E3BA0" w:rsidRPr="00791F78">
        <w:rPr>
          <w:rFonts w:eastAsia="宋体"/>
          <w:sz w:val="24"/>
          <w:szCs w:val="24"/>
        </w:rPr>
        <w:t>应当忽略</w:t>
      </w:r>
      <w:r w:rsidRPr="00791F78">
        <w:rPr>
          <w:rFonts w:eastAsia="宋体"/>
          <w:sz w:val="24"/>
          <w:szCs w:val="24"/>
        </w:rPr>
        <w:t>。</w:t>
      </w:r>
    </w:p>
    <w:p w14:paraId="135C5517" w14:textId="77777777" w:rsidR="008213FA" w:rsidRPr="00791F78" w:rsidRDefault="008213FA">
      <w:pPr>
        <w:spacing w:line="251" w:lineRule="exact"/>
        <w:rPr>
          <w:rFonts w:eastAsia="宋体"/>
          <w:sz w:val="24"/>
          <w:szCs w:val="24"/>
        </w:rPr>
      </w:pPr>
    </w:p>
    <w:p w14:paraId="4F3119A8" w14:textId="52D0B5C1" w:rsidR="008213FA" w:rsidRPr="00791F78" w:rsidRDefault="00D93B57" w:rsidP="00F31794">
      <w:pPr>
        <w:numPr>
          <w:ilvl w:val="0"/>
          <w:numId w:val="9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在上述规则第</w:t>
      </w:r>
      <w:r w:rsidRPr="00791F78">
        <w:rPr>
          <w:rFonts w:eastAsia="宋体"/>
          <w:sz w:val="24"/>
          <w:szCs w:val="24"/>
        </w:rPr>
        <w:t>20</w:t>
      </w:r>
      <w:r w:rsidRPr="00791F78">
        <w:rPr>
          <w:rFonts w:eastAsia="宋体"/>
          <w:sz w:val="24"/>
          <w:szCs w:val="24"/>
        </w:rPr>
        <w:t>条第二项但书之后，应加上下列但书，即</w:t>
      </w:r>
      <w:r w:rsidRPr="00791F78">
        <w:rPr>
          <w:rFonts w:eastAsia="宋体"/>
          <w:sz w:val="24"/>
          <w:szCs w:val="24"/>
        </w:rPr>
        <w:t>:</w:t>
      </w:r>
    </w:p>
    <w:p w14:paraId="29B234C0" w14:textId="77777777" w:rsidR="008213FA" w:rsidRPr="00791F78" w:rsidRDefault="008213FA">
      <w:pPr>
        <w:spacing w:line="229" w:lineRule="exact"/>
        <w:rPr>
          <w:rFonts w:eastAsia="宋体"/>
          <w:sz w:val="24"/>
          <w:szCs w:val="24"/>
        </w:rPr>
      </w:pPr>
    </w:p>
    <w:p w14:paraId="349E60C0" w14:textId="461E6E25" w:rsidR="008213FA" w:rsidRPr="00791F78" w:rsidRDefault="00D93B57">
      <w:pPr>
        <w:spacing w:line="250" w:lineRule="auto"/>
        <w:ind w:left="720"/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即使有上述但书所载的任何规定，如有违反该承诺的情况，则该临时</w:t>
      </w:r>
      <w:r w:rsidR="007E3BA0" w:rsidRPr="00791F78">
        <w:rPr>
          <w:rFonts w:eastAsia="宋体"/>
          <w:sz w:val="24"/>
          <w:szCs w:val="24"/>
        </w:rPr>
        <w:t>反倾销税应当</w:t>
      </w:r>
      <w:r w:rsidRPr="00791F78">
        <w:rPr>
          <w:rFonts w:eastAsia="宋体"/>
          <w:sz w:val="24"/>
          <w:szCs w:val="24"/>
        </w:rPr>
        <w:t>自违反该承诺</w:t>
      </w:r>
      <w:r w:rsidR="007E3BA0" w:rsidRPr="00791F78">
        <w:rPr>
          <w:rFonts w:eastAsia="宋体"/>
          <w:sz w:val="24"/>
          <w:szCs w:val="24"/>
        </w:rPr>
        <w:t>之日</w:t>
      </w:r>
      <w:r w:rsidRPr="00791F78">
        <w:rPr>
          <w:rFonts w:eastAsia="宋体"/>
          <w:sz w:val="24"/>
          <w:szCs w:val="24"/>
        </w:rPr>
        <w:t>或中央政府就</w:t>
      </w:r>
      <w:r w:rsidR="007E3BA0" w:rsidRPr="00791F78">
        <w:rPr>
          <w:rFonts w:eastAsia="宋体"/>
          <w:sz w:val="24"/>
          <w:szCs w:val="24"/>
        </w:rPr>
        <w:t>各</w:t>
      </w:r>
      <w:r w:rsidRPr="00791F78">
        <w:rPr>
          <w:rFonts w:eastAsia="宋体"/>
          <w:sz w:val="24"/>
          <w:szCs w:val="24"/>
        </w:rPr>
        <w:t>案</w:t>
      </w:r>
      <w:r w:rsidR="007E3BA0" w:rsidRPr="00791F78">
        <w:rPr>
          <w:rFonts w:eastAsia="宋体"/>
          <w:sz w:val="24"/>
          <w:szCs w:val="24"/>
        </w:rPr>
        <w:t>件分别</w:t>
      </w:r>
      <w:r w:rsidRPr="00791F78">
        <w:rPr>
          <w:rFonts w:eastAsia="宋体"/>
          <w:sz w:val="24"/>
          <w:szCs w:val="24"/>
        </w:rPr>
        <w:t>指明的日期</w:t>
      </w:r>
      <w:r w:rsidR="007E3BA0" w:rsidRPr="00791F78">
        <w:rPr>
          <w:rFonts w:eastAsia="宋体"/>
          <w:sz w:val="24"/>
          <w:szCs w:val="24"/>
        </w:rPr>
        <w:t>之日</w:t>
      </w:r>
      <w:r w:rsidRPr="00791F78">
        <w:rPr>
          <w:rFonts w:eastAsia="宋体"/>
          <w:sz w:val="24"/>
          <w:szCs w:val="24"/>
        </w:rPr>
        <w:t>起</w:t>
      </w:r>
      <w:r w:rsidR="007E3BA0" w:rsidRPr="00791F78">
        <w:rPr>
          <w:rFonts w:eastAsia="宋体"/>
          <w:sz w:val="24"/>
          <w:szCs w:val="24"/>
        </w:rPr>
        <w:t>进行</w:t>
      </w:r>
      <w:r w:rsidRPr="00791F78">
        <w:rPr>
          <w:rFonts w:eastAsia="宋体"/>
          <w:sz w:val="24"/>
          <w:szCs w:val="24"/>
        </w:rPr>
        <w:t>征收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。</w:t>
      </w:r>
    </w:p>
    <w:p w14:paraId="3AF265AA" w14:textId="77777777" w:rsidR="008213FA" w:rsidRPr="00791F78" w:rsidRDefault="008213FA">
      <w:pPr>
        <w:spacing w:line="211" w:lineRule="exact"/>
        <w:rPr>
          <w:rFonts w:eastAsia="宋体"/>
          <w:sz w:val="24"/>
          <w:szCs w:val="24"/>
        </w:rPr>
      </w:pPr>
    </w:p>
    <w:p w14:paraId="38E84B65" w14:textId="42BC2C61" w:rsidR="008213FA" w:rsidRPr="00791F78" w:rsidRDefault="00D93B57" w:rsidP="00F31794">
      <w:pPr>
        <w:numPr>
          <w:ilvl w:val="0"/>
          <w:numId w:val="10"/>
        </w:numPr>
        <w:tabs>
          <w:tab w:val="left" w:pos="720"/>
        </w:tabs>
        <w:ind w:left="720" w:hanging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在上述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规则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附件一第</w:t>
      </w:r>
      <w:r w:rsidRPr="00791F78">
        <w:rPr>
          <w:rFonts w:eastAsia="宋体"/>
          <w:sz w:val="24"/>
          <w:szCs w:val="24"/>
        </w:rPr>
        <w:t>6</w:t>
      </w:r>
      <w:r w:rsidRPr="00791F78">
        <w:rPr>
          <w:rFonts w:eastAsia="宋体"/>
          <w:sz w:val="24"/>
          <w:szCs w:val="24"/>
        </w:rPr>
        <w:t>款之后，应插入下一款，即</w:t>
      </w:r>
      <w:r w:rsidRPr="00791F78">
        <w:rPr>
          <w:rFonts w:eastAsia="宋体"/>
          <w:sz w:val="24"/>
          <w:szCs w:val="24"/>
        </w:rPr>
        <w:t>:</w:t>
      </w:r>
    </w:p>
    <w:p w14:paraId="6A0BD155" w14:textId="5DF42843" w:rsidR="005D302B" w:rsidRPr="00791F78" w:rsidRDefault="005D302B" w:rsidP="00F31794">
      <w:pPr>
        <w:tabs>
          <w:tab w:val="left" w:pos="720"/>
        </w:tabs>
        <w:ind w:left="720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若从非市场经济国家进口产品，正常价值应根据具有市场经济的第三国的价格或构成价值，或从该第三国向包括印度在内的其他国家的价格，或在不可能的情况下，根据任何其他合理的基础，包括在印度实际支付或应当支付的同类产品的价格，并在必要时作适当调整，以包括合理的利润率。指定当局应以合理的方式，并应适当考虑在选定时提供的任何可靠资料，在合理时限内选定适当的具有市场经济的第三国。在适当情况下，就任何其他市场经济第三国就类似事宜进行的调查（如有）毫不迟延地将上述市场经济第三国的选择通知调查各方，并给予提供意见的合理时间。</w:t>
      </w:r>
      <w:r w:rsidRPr="00791F78">
        <w:rPr>
          <w:rFonts w:eastAsia="宋体"/>
          <w:sz w:val="24"/>
          <w:szCs w:val="24"/>
        </w:rPr>
        <w:t>”</w:t>
      </w:r>
    </w:p>
    <w:p w14:paraId="42A132B0" w14:textId="77777777" w:rsidR="008213FA" w:rsidRPr="00791F78" w:rsidRDefault="008213FA">
      <w:pPr>
        <w:spacing w:line="229" w:lineRule="exact"/>
        <w:rPr>
          <w:rFonts w:eastAsia="宋体"/>
          <w:sz w:val="24"/>
          <w:szCs w:val="24"/>
        </w:rPr>
      </w:pPr>
    </w:p>
    <w:p w14:paraId="6D62E38E" w14:textId="3155AFD3" w:rsidR="008213FA" w:rsidRPr="00791F78" w:rsidRDefault="008213FA">
      <w:pPr>
        <w:rPr>
          <w:rFonts w:eastAsia="宋体"/>
          <w:sz w:val="24"/>
          <w:szCs w:val="24"/>
        </w:rPr>
      </w:pPr>
    </w:p>
    <w:p w14:paraId="05C0AD55" w14:textId="55B95CEE" w:rsidR="00A918D0" w:rsidRPr="00791F78" w:rsidRDefault="00A918D0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br w:type="page"/>
      </w:r>
    </w:p>
    <w:p w14:paraId="432F0069" w14:textId="77777777" w:rsidR="008213FA" w:rsidRPr="00791F78" w:rsidRDefault="008213FA">
      <w:pPr>
        <w:rPr>
          <w:rFonts w:eastAsia="宋体"/>
          <w:sz w:val="24"/>
          <w:szCs w:val="24"/>
        </w:rPr>
      </w:pPr>
    </w:p>
    <w:p w14:paraId="4BC65B56" w14:textId="77777777" w:rsidR="008213FA" w:rsidRPr="00791F78" w:rsidRDefault="008213FA">
      <w:pPr>
        <w:spacing w:line="1" w:lineRule="exact"/>
        <w:rPr>
          <w:rFonts w:eastAsia="宋体"/>
          <w:sz w:val="24"/>
          <w:szCs w:val="24"/>
        </w:rPr>
      </w:pPr>
    </w:p>
    <w:p w14:paraId="13AADAB2" w14:textId="77777777" w:rsidR="008213FA" w:rsidRPr="00791F78" w:rsidRDefault="00D93B57">
      <w:pPr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G/ADP/N/1/IND/2/Suppl.2</w:t>
      </w:r>
    </w:p>
    <w:p w14:paraId="1C949A16" w14:textId="77777777" w:rsidR="008213FA" w:rsidRPr="00791F78" w:rsidRDefault="00D93B57">
      <w:pPr>
        <w:tabs>
          <w:tab w:val="left" w:pos="720"/>
        </w:tabs>
        <w:spacing w:line="271" w:lineRule="auto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G/SCM/N/1/IND/2/Suppl.2</w:t>
      </w:r>
    </w:p>
    <w:p w14:paraId="0BE7F30C" w14:textId="77777777" w:rsidR="008213FA" w:rsidRPr="00791F78" w:rsidRDefault="00D93B57">
      <w:pPr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4</w:t>
      </w:r>
      <w:r w:rsidRPr="00791F78">
        <w:rPr>
          <w:rFonts w:eastAsia="宋体"/>
          <w:sz w:val="24"/>
          <w:szCs w:val="24"/>
        </w:rPr>
        <w:t>页</w:t>
      </w:r>
    </w:p>
    <w:p w14:paraId="5C63B78C" w14:textId="77777777" w:rsidR="008213FA" w:rsidRPr="00791F78" w:rsidRDefault="008213FA">
      <w:pPr>
        <w:spacing w:line="24" w:lineRule="exact"/>
        <w:rPr>
          <w:rFonts w:eastAsia="宋体"/>
          <w:sz w:val="24"/>
          <w:szCs w:val="24"/>
        </w:rPr>
      </w:pPr>
    </w:p>
    <w:p w14:paraId="78856BCB" w14:textId="77777777" w:rsidR="008213FA" w:rsidRPr="00791F78" w:rsidRDefault="008213FA">
      <w:pPr>
        <w:jc w:val="both"/>
        <w:rPr>
          <w:rFonts w:eastAsia="宋体"/>
          <w:sz w:val="24"/>
          <w:szCs w:val="24"/>
        </w:rPr>
      </w:pPr>
    </w:p>
    <w:p w14:paraId="31854734" w14:textId="77777777" w:rsidR="008213FA" w:rsidRPr="00791F78" w:rsidRDefault="008213FA">
      <w:pPr>
        <w:jc w:val="both"/>
        <w:rPr>
          <w:rFonts w:eastAsia="宋体"/>
          <w:sz w:val="24"/>
          <w:szCs w:val="24"/>
        </w:rPr>
      </w:pPr>
    </w:p>
    <w:p w14:paraId="6109647D" w14:textId="6AEAC73C" w:rsidR="008213FA" w:rsidRPr="00791F78" w:rsidRDefault="00D93B57">
      <w:pPr>
        <w:jc w:val="both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9.</w:t>
      </w:r>
      <w:r w:rsidRPr="00791F78">
        <w:rPr>
          <w:rFonts w:eastAsia="宋体"/>
          <w:sz w:val="24"/>
          <w:szCs w:val="24"/>
        </w:rPr>
        <w:t>在上述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规则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附件二</w:t>
      </w:r>
      <w:r w:rsidR="00A918D0" w:rsidRPr="00791F78">
        <w:rPr>
          <w:rFonts w:eastAsia="宋体"/>
          <w:sz w:val="24"/>
          <w:szCs w:val="24"/>
        </w:rPr>
        <w:t>第</w:t>
      </w:r>
      <w:r w:rsidRPr="00791F78">
        <w:rPr>
          <w:rFonts w:eastAsia="宋体"/>
          <w:sz w:val="24"/>
          <w:szCs w:val="24"/>
        </w:rPr>
        <w:t>（</w:t>
      </w:r>
      <w:r w:rsidR="00A918D0" w:rsidRPr="00791F78">
        <w:rPr>
          <w:rFonts w:eastAsia="宋体"/>
          <w:sz w:val="24"/>
          <w:szCs w:val="24"/>
        </w:rPr>
        <w:t>iv</w:t>
      </w:r>
      <w:r w:rsidR="00A918D0" w:rsidRPr="00791F78">
        <w:rPr>
          <w:rFonts w:eastAsia="宋体"/>
          <w:sz w:val="24"/>
          <w:szCs w:val="24"/>
        </w:rPr>
        <w:t>）</w:t>
      </w:r>
      <w:r w:rsidRPr="00791F78">
        <w:rPr>
          <w:rFonts w:eastAsia="宋体"/>
          <w:sz w:val="24"/>
          <w:szCs w:val="24"/>
        </w:rPr>
        <w:t>款中，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必要的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应改为</w:t>
      </w:r>
      <w:r w:rsidRPr="00791F78">
        <w:rPr>
          <w:rFonts w:eastAsia="宋体"/>
          <w:sz w:val="24"/>
          <w:szCs w:val="24"/>
        </w:rPr>
        <w:t>“</w:t>
      </w:r>
      <w:r w:rsidRPr="00791F78">
        <w:rPr>
          <w:rFonts w:eastAsia="宋体"/>
          <w:sz w:val="24"/>
          <w:szCs w:val="24"/>
        </w:rPr>
        <w:t>潜在的</w:t>
      </w:r>
      <w:r w:rsidRPr="00791F78">
        <w:rPr>
          <w:rFonts w:eastAsia="宋体"/>
          <w:sz w:val="24"/>
          <w:szCs w:val="24"/>
        </w:rPr>
        <w:t>”</w:t>
      </w:r>
      <w:r w:rsidRPr="00791F78">
        <w:rPr>
          <w:rFonts w:eastAsia="宋体"/>
          <w:sz w:val="24"/>
          <w:szCs w:val="24"/>
        </w:rPr>
        <w:t>。</w:t>
      </w:r>
    </w:p>
    <w:p w14:paraId="4060FE01" w14:textId="77777777" w:rsidR="008213FA" w:rsidRPr="00791F78" w:rsidRDefault="008213FA">
      <w:pPr>
        <w:jc w:val="right"/>
        <w:rPr>
          <w:rFonts w:eastAsia="宋体"/>
          <w:sz w:val="24"/>
          <w:szCs w:val="24"/>
          <w:u w:val="single"/>
        </w:rPr>
      </w:pPr>
    </w:p>
    <w:p w14:paraId="63FD4A19" w14:textId="77777777" w:rsidR="008213FA" w:rsidRPr="00791F78" w:rsidRDefault="008213FA">
      <w:pPr>
        <w:jc w:val="right"/>
        <w:rPr>
          <w:rFonts w:eastAsia="宋体"/>
          <w:sz w:val="24"/>
          <w:szCs w:val="24"/>
          <w:u w:val="single"/>
        </w:rPr>
      </w:pPr>
    </w:p>
    <w:p w14:paraId="071083D7" w14:textId="77777777" w:rsidR="008213FA" w:rsidRPr="00791F78" w:rsidRDefault="008213FA">
      <w:pPr>
        <w:jc w:val="right"/>
        <w:rPr>
          <w:rFonts w:eastAsia="宋体"/>
          <w:sz w:val="24"/>
          <w:szCs w:val="24"/>
        </w:rPr>
      </w:pPr>
    </w:p>
    <w:p w14:paraId="1F9E9205" w14:textId="77777777" w:rsidR="008213FA" w:rsidRPr="00791F78" w:rsidRDefault="00D93B57">
      <w:pPr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（拉金德拉</w:t>
      </w:r>
      <w:r w:rsidRPr="00791F78">
        <w:rPr>
          <w:rFonts w:eastAsia="宋体"/>
          <w:sz w:val="24"/>
          <w:szCs w:val="24"/>
        </w:rPr>
        <w:t>·</w:t>
      </w:r>
      <w:r w:rsidRPr="00791F78">
        <w:rPr>
          <w:rFonts w:eastAsia="宋体"/>
          <w:sz w:val="24"/>
          <w:szCs w:val="24"/>
        </w:rPr>
        <w:t>辛格）</w:t>
      </w:r>
    </w:p>
    <w:p w14:paraId="21548529" w14:textId="77777777" w:rsidR="008213FA" w:rsidRPr="00791F78" w:rsidRDefault="00D93B57">
      <w:pPr>
        <w:spacing w:line="273" w:lineRule="auto"/>
        <w:jc w:val="right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印度政府副国务卿</w:t>
      </w:r>
    </w:p>
    <w:p w14:paraId="42854A57" w14:textId="77777777" w:rsidR="008213FA" w:rsidRPr="00791F78" w:rsidRDefault="008213FA">
      <w:pPr>
        <w:spacing w:line="184" w:lineRule="exact"/>
        <w:rPr>
          <w:rFonts w:eastAsia="宋体"/>
          <w:sz w:val="24"/>
          <w:szCs w:val="24"/>
        </w:rPr>
      </w:pPr>
    </w:p>
    <w:p w14:paraId="0E81BA49" w14:textId="77777777" w:rsidR="008213FA" w:rsidRPr="00791F78" w:rsidRDefault="008213FA">
      <w:pPr>
        <w:jc w:val="center"/>
        <w:rPr>
          <w:rFonts w:eastAsia="宋体"/>
          <w:b/>
          <w:bCs/>
          <w:sz w:val="24"/>
          <w:szCs w:val="24"/>
        </w:rPr>
      </w:pPr>
    </w:p>
    <w:p w14:paraId="21D42B5C" w14:textId="77777777" w:rsidR="008213FA" w:rsidRPr="00791F78" w:rsidRDefault="00D93B57">
      <w:pPr>
        <w:tabs>
          <w:tab w:val="left" w:pos="720"/>
        </w:tabs>
        <w:spacing w:line="271" w:lineRule="auto"/>
        <w:rPr>
          <w:rFonts w:eastAsia="宋体"/>
          <w:sz w:val="24"/>
          <w:szCs w:val="24"/>
        </w:rPr>
      </w:pPr>
      <w:r w:rsidRPr="00791F78">
        <w:rPr>
          <w:rFonts w:eastAsia="宋体"/>
          <w:sz w:val="24"/>
          <w:szCs w:val="24"/>
        </w:rPr>
        <w:t>No. 573/7/94-CUS (TU) Pt.</w:t>
      </w:r>
    </w:p>
    <w:p w14:paraId="63901BAC" w14:textId="77777777" w:rsidR="008213FA" w:rsidRPr="00791F78" w:rsidRDefault="00D93B57">
      <w:pPr>
        <w:rPr>
          <w:rFonts w:eastAsia="宋体"/>
        </w:rPr>
      </w:pPr>
      <w:r w:rsidRPr="00791F78">
        <w:rPr>
          <w:rFonts w:eastAsia="宋体"/>
          <w:sz w:val="24"/>
          <w:szCs w:val="24"/>
          <w:lang w:bidi="ar"/>
        </w:rPr>
        <w:t>注意：主要规则已发布在印度政府公报于</w:t>
      </w:r>
      <w:r w:rsidRPr="00791F78">
        <w:rPr>
          <w:rFonts w:eastAsia="宋体"/>
          <w:sz w:val="24"/>
          <w:szCs w:val="24"/>
          <w:lang w:bidi="ar"/>
        </w:rPr>
        <w:t>01.01.95</w:t>
      </w:r>
      <w:r w:rsidRPr="00791F78">
        <w:rPr>
          <w:rFonts w:eastAsia="宋体"/>
          <w:sz w:val="24"/>
          <w:szCs w:val="24"/>
          <w:lang w:bidi="ar"/>
        </w:rPr>
        <w:t>（</w:t>
      </w:r>
      <w:r w:rsidRPr="00791F78">
        <w:rPr>
          <w:rFonts w:eastAsia="宋体"/>
          <w:sz w:val="24"/>
          <w:szCs w:val="24"/>
          <w:lang w:bidi="ar"/>
        </w:rPr>
        <w:t>ASR</w:t>
      </w:r>
      <w:r w:rsidRPr="00791F78">
        <w:rPr>
          <w:rFonts w:eastAsia="宋体"/>
          <w:sz w:val="24"/>
          <w:szCs w:val="24"/>
          <w:lang w:bidi="ar"/>
        </w:rPr>
        <w:t>）（</w:t>
      </w:r>
      <w:r w:rsidRPr="00791F78">
        <w:rPr>
          <w:rFonts w:eastAsia="宋体"/>
          <w:sz w:val="24"/>
          <w:szCs w:val="24"/>
          <w:lang w:bidi="ar"/>
        </w:rPr>
        <w:t>E</w:t>
      </w:r>
      <w:r w:rsidRPr="00791F78">
        <w:rPr>
          <w:rFonts w:eastAsia="宋体"/>
          <w:sz w:val="24"/>
          <w:szCs w:val="24"/>
          <w:lang w:bidi="ar"/>
        </w:rPr>
        <w:t>）发布的第</w:t>
      </w:r>
      <w:r w:rsidRPr="00791F78">
        <w:rPr>
          <w:rFonts w:eastAsia="宋体"/>
          <w:sz w:val="24"/>
          <w:szCs w:val="24"/>
          <w:lang w:bidi="ar"/>
        </w:rPr>
        <w:t>2/95</w:t>
      </w:r>
      <w:r w:rsidRPr="00791F78">
        <w:rPr>
          <w:rFonts w:eastAsia="宋体"/>
          <w:sz w:val="24"/>
          <w:szCs w:val="24"/>
          <w:lang w:bidi="ar"/>
        </w:rPr>
        <w:t>号特别公告中。</w:t>
      </w:r>
    </w:p>
    <w:p w14:paraId="2A82789E" w14:textId="77777777" w:rsidR="008213FA" w:rsidRPr="00791F78" w:rsidRDefault="008213FA">
      <w:pPr>
        <w:jc w:val="both"/>
        <w:rPr>
          <w:rFonts w:eastAsia="宋体"/>
          <w:b/>
          <w:bCs/>
          <w:sz w:val="24"/>
          <w:szCs w:val="24"/>
        </w:rPr>
      </w:pPr>
    </w:p>
    <w:p w14:paraId="6A5A04C9" w14:textId="77777777" w:rsidR="008213FA" w:rsidRPr="00791F78" w:rsidRDefault="00D93B57">
      <w:pPr>
        <w:jc w:val="center"/>
        <w:rPr>
          <w:rFonts w:eastAsia="宋体"/>
          <w:sz w:val="24"/>
          <w:szCs w:val="24"/>
        </w:rPr>
      </w:pPr>
      <w:r w:rsidRPr="00791F78">
        <w:rPr>
          <w:rFonts w:eastAsia="宋体"/>
          <w:b/>
          <w:bCs/>
          <w:sz w:val="24"/>
          <w:szCs w:val="24"/>
        </w:rPr>
        <w:t>___________</w:t>
      </w:r>
    </w:p>
    <w:sectPr w:rsidR="008213FA" w:rsidRPr="00791F78">
      <w:pgSz w:w="11900" w:h="16840"/>
      <w:pgMar w:top="688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singleLevel"/>
    <w:tmpl w:val="00000099"/>
    <w:lvl w:ilvl="0">
      <w:start w:val="2"/>
      <w:numFmt w:val="lowerRoman"/>
      <w:lvlText w:val="(%1)"/>
      <w:lvlJc w:val="left"/>
    </w:lvl>
  </w:abstractNum>
  <w:abstractNum w:abstractNumId="1" w15:restartNumberingAfterBreak="0">
    <w:nsid w:val="00000124"/>
    <w:multiLevelType w:val="singleLevel"/>
    <w:tmpl w:val="00000124"/>
    <w:lvl w:ilvl="0">
      <w:start w:val="3"/>
      <w:numFmt w:val="decimal"/>
      <w:lvlText w:val="%1.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1"/>
      <w:numFmt w:val="decimal"/>
      <w:lvlText w:val="%1"/>
      <w:lvlJc w:val="left"/>
    </w:lvl>
    <w:lvl w:ilvl="1">
      <w:start w:val="1"/>
      <w:numFmt w:val="lowerLetter"/>
      <w:lvlText w:val="(%2)"/>
      <w:lvlJc w:val="left"/>
    </w:lvl>
    <w:lvl w:ilvl="2">
      <w:start w:val="9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singleLevel"/>
    <w:tmpl w:val="000012DB"/>
    <w:lvl w:ilvl="0">
      <w:start w:val="1"/>
      <w:numFmt w:val="decimal"/>
      <w:lvlText w:val="%1."/>
      <w:lvlJc w:val="left"/>
    </w:lvl>
  </w:abstractNum>
  <w:abstractNum w:abstractNumId="4" w15:restartNumberingAfterBreak="0">
    <w:nsid w:val="0000305E"/>
    <w:multiLevelType w:val="singleLevel"/>
    <w:tmpl w:val="0000305E"/>
    <w:lvl w:ilvl="0">
      <w:start w:val="4"/>
      <w:numFmt w:val="decimal"/>
      <w:lvlText w:val="%1.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."/>
      <w:lvlJc w:val="left"/>
    </w:lvl>
    <w:lvl w:ilvl="1">
      <w:start w:val="35"/>
      <w:numFmt w:val="lowerLetter"/>
      <w:lvlText w:val="(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5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491C"/>
    <w:multiLevelType w:val="singleLevel"/>
    <w:tmpl w:val="0000491C"/>
    <w:lvl w:ilvl="0">
      <w:start w:val="6"/>
      <w:numFmt w:val="decimal"/>
      <w:lvlText w:val="%1."/>
      <w:lvlJc w:val="left"/>
    </w:lvl>
  </w:abstractNum>
  <w:abstractNum w:abstractNumId="8" w15:restartNumberingAfterBreak="0">
    <w:nsid w:val="00004D06"/>
    <w:multiLevelType w:val="singleLevel"/>
    <w:tmpl w:val="00004D06"/>
    <w:lvl w:ilvl="0">
      <w:start w:val="8"/>
      <w:numFmt w:val="decimal"/>
      <w:lvlText w:val="%1."/>
      <w:lvlJc w:val="left"/>
    </w:lvl>
  </w:abstractNum>
  <w:abstractNum w:abstractNumId="9" w15:restartNumberingAfterBreak="0">
    <w:nsid w:val="00007E87"/>
    <w:multiLevelType w:val="singleLevel"/>
    <w:tmpl w:val="00007E87"/>
    <w:lvl w:ilvl="0">
      <w:start w:val="2"/>
      <w:numFmt w:val="decimal"/>
      <w:lvlText w:val="%1.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31C"/>
    <w:rsid w:val="00172A27"/>
    <w:rsid w:val="0026126B"/>
    <w:rsid w:val="002C0906"/>
    <w:rsid w:val="002F5966"/>
    <w:rsid w:val="003727CE"/>
    <w:rsid w:val="005C2151"/>
    <w:rsid w:val="005D302B"/>
    <w:rsid w:val="00791F78"/>
    <w:rsid w:val="007E3BA0"/>
    <w:rsid w:val="008213FA"/>
    <w:rsid w:val="00914957"/>
    <w:rsid w:val="00961D15"/>
    <w:rsid w:val="00A918D0"/>
    <w:rsid w:val="00AA155B"/>
    <w:rsid w:val="00CB295C"/>
    <w:rsid w:val="00CF6021"/>
    <w:rsid w:val="00D20A84"/>
    <w:rsid w:val="00D93B57"/>
    <w:rsid w:val="00DA022F"/>
    <w:rsid w:val="00EF641D"/>
    <w:rsid w:val="00F31794"/>
    <w:rsid w:val="42804A33"/>
    <w:rsid w:val="488A7DFD"/>
    <w:rsid w:val="4B812609"/>
    <w:rsid w:val="66A145C7"/>
    <w:rsid w:val="754E5409"/>
    <w:rsid w:val="7EE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D061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be2">
    <w:name w:val="gb_e2"/>
    <w:basedOn w:val="a0"/>
    <w:rPr>
      <w:color w:val="FFFFFF"/>
    </w:rPr>
  </w:style>
  <w:style w:type="character" w:customStyle="1" w:styleId="gbe3">
    <w:name w:val="gb_e3"/>
    <w:basedOn w:val="a0"/>
    <w:rPr>
      <w:u w:val="none"/>
    </w:rPr>
  </w:style>
  <w:style w:type="character" w:customStyle="1" w:styleId="gt-baf-base-sep">
    <w:name w:val="gt-baf-base-sep"/>
    <w:basedOn w:val="a0"/>
  </w:style>
  <w:style w:type="character" w:customStyle="1" w:styleId="gt-baf-pos">
    <w:name w:val="gt-baf-pos"/>
    <w:basedOn w:val="a0"/>
    <w:rPr>
      <w:color w:val="777777"/>
    </w:rPr>
  </w:style>
  <w:style w:type="paragraph" w:styleId="a3">
    <w:name w:val="Balloon Text"/>
    <w:basedOn w:val="a"/>
    <w:link w:val="Char"/>
    <w:uiPriority w:val="99"/>
    <w:semiHidden/>
    <w:unhideWhenUsed/>
    <w:rsid w:val="00DA022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22F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295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295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Jin</cp:lastModifiedBy>
  <cp:revision>18</cp:revision>
  <dcterms:created xsi:type="dcterms:W3CDTF">2019-10-28T13:17:00Z</dcterms:created>
  <dcterms:modified xsi:type="dcterms:W3CDTF">2019-12-23T06:06:00Z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